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Birzeit University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Physics department 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Physics 211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Student’s name: Ahmad Hammouri </w:t>
      </w:r>
      <w:r w:rsidRPr="00FF1610">
        <w:rPr>
          <w:rFonts w:asciiTheme="majorBidi" w:hAnsiTheme="majorBidi" w:cstheme="majorBidi"/>
          <w:sz w:val="28"/>
          <w:szCs w:val="28"/>
        </w:rPr>
        <w:tab/>
        <w:t>Student’s number: 1071811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Partners name: Anas Abu halaweh </w:t>
      </w:r>
      <w:r w:rsidRPr="00FF1610">
        <w:rPr>
          <w:rFonts w:asciiTheme="majorBidi" w:hAnsiTheme="majorBidi" w:cstheme="majorBidi"/>
          <w:sz w:val="28"/>
          <w:szCs w:val="28"/>
        </w:rPr>
        <w:tab/>
        <w:t>partner number: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Partner’s name: Mariana Mosallam </w:t>
      </w:r>
      <w:r w:rsidRPr="00FF1610">
        <w:rPr>
          <w:rFonts w:asciiTheme="majorBidi" w:hAnsiTheme="majorBidi" w:cstheme="majorBidi"/>
          <w:sz w:val="28"/>
          <w:szCs w:val="28"/>
        </w:rPr>
        <w:tab/>
        <w:t>partners number:</w:t>
      </w:r>
      <w:r w:rsidRPr="00FF1610">
        <w:rPr>
          <w:rFonts w:asciiTheme="majorBidi" w:eastAsia="Times New Roman" w:hAnsiTheme="majorBidi" w:cstheme="majorBidi"/>
          <w:sz w:val="28"/>
          <w:szCs w:val="28"/>
        </w:rPr>
        <w:t xml:space="preserve"> 1100343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Experiment name:  </w:t>
      </w:r>
      <w:r>
        <w:rPr>
          <w:rFonts w:asciiTheme="majorBidi" w:hAnsiTheme="majorBidi" w:cstheme="majorBidi"/>
          <w:sz w:val="28"/>
          <w:szCs w:val="28"/>
        </w:rPr>
        <w:t xml:space="preserve">the thermal expansion coefficient of brass 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Date:19/3</w:t>
      </w:r>
      <w:r w:rsidRPr="00FF1610">
        <w:rPr>
          <w:rFonts w:asciiTheme="majorBidi" w:hAnsiTheme="majorBidi" w:cstheme="majorBidi"/>
          <w:sz w:val="28"/>
          <w:szCs w:val="28"/>
        </w:rPr>
        <w:t>/2012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 xml:space="preserve">Instructor: Dr. Wael .Q </w:t>
      </w: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lastRenderedPageBreak/>
        <w:t>Abstract:</w:t>
      </w:r>
    </w:p>
    <w:p w:rsidR="00F01311" w:rsidRDefault="001F19A7" w:rsidP="009C6F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this </w:t>
      </w:r>
      <w:r w:rsidR="009C6F98">
        <w:rPr>
          <w:rFonts w:asciiTheme="majorBidi" w:hAnsiTheme="majorBidi" w:cstheme="majorBidi"/>
          <w:sz w:val="28"/>
          <w:szCs w:val="28"/>
        </w:rPr>
        <w:t>experiment</w:t>
      </w:r>
      <w:r>
        <w:rPr>
          <w:rFonts w:asciiTheme="majorBidi" w:hAnsiTheme="majorBidi" w:cstheme="majorBidi"/>
          <w:sz w:val="28"/>
          <w:szCs w:val="28"/>
        </w:rPr>
        <w:t xml:space="preserve"> ,the thermal </w:t>
      </w:r>
      <w:r w:rsidR="009C6F98">
        <w:rPr>
          <w:rFonts w:asciiTheme="majorBidi" w:hAnsiTheme="majorBidi" w:cstheme="majorBidi"/>
          <w:sz w:val="28"/>
          <w:szCs w:val="28"/>
        </w:rPr>
        <w:t>expansion</w:t>
      </w:r>
      <w:r>
        <w:rPr>
          <w:rFonts w:asciiTheme="majorBidi" w:hAnsiTheme="majorBidi" w:cstheme="majorBidi"/>
          <w:sz w:val="28"/>
          <w:szCs w:val="28"/>
        </w:rPr>
        <w:t xml:space="preserve">  coefficient of a rod  of brass is determined by measuring the increase  in the </w:t>
      </w:r>
      <w:r w:rsidR="009C6F98">
        <w:rPr>
          <w:rFonts w:asciiTheme="majorBidi" w:hAnsiTheme="majorBidi" w:cstheme="majorBidi"/>
          <w:sz w:val="28"/>
          <w:szCs w:val="28"/>
        </w:rPr>
        <w:t>length</w:t>
      </w:r>
      <w:r>
        <w:rPr>
          <w:rFonts w:asciiTheme="majorBidi" w:hAnsiTheme="majorBidi" w:cstheme="majorBidi"/>
          <w:sz w:val="28"/>
          <w:szCs w:val="28"/>
        </w:rPr>
        <w:t xml:space="preserve"> of the rod with the increase of </w:t>
      </w:r>
      <w:r w:rsidR="009C6F98">
        <w:rPr>
          <w:rFonts w:asciiTheme="majorBidi" w:hAnsiTheme="majorBidi" w:cstheme="majorBidi"/>
          <w:sz w:val="28"/>
          <w:szCs w:val="28"/>
        </w:rPr>
        <w:t>temperature</w:t>
      </w:r>
      <w:r>
        <w:rPr>
          <w:rFonts w:asciiTheme="majorBidi" w:hAnsiTheme="majorBidi" w:cstheme="majorBidi"/>
          <w:sz w:val="28"/>
          <w:szCs w:val="28"/>
        </w:rPr>
        <w:t xml:space="preserve">  and the use of  the relation</w:t>
      </w:r>
    </w:p>
    <w:p w:rsidR="001F19A7" w:rsidRDefault="001F19A7" w:rsidP="009C6F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L=L</w:t>
      </w:r>
      <w:r w:rsidRPr="009C6F98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+(1+</w:t>
      </w:r>
      <w:r w:rsidR="009C6F98" w:rsidRPr="009C6F98">
        <w:rPr>
          <w:rFonts w:asciiTheme="majorBidi" w:hAnsiTheme="majorBidi" w:cstheme="majorBidi"/>
          <w:sz w:val="28"/>
          <w:szCs w:val="28"/>
        </w:rPr>
        <w:t xml:space="preserve"> </w:t>
      </w:r>
      <w:r w:rsidR="009C6F98">
        <w:rPr>
          <w:rFonts w:asciiTheme="majorBidi" w:hAnsiTheme="majorBidi" w:cstheme="majorBidi"/>
          <w:sz w:val="28"/>
          <w:szCs w:val="28"/>
        </w:rPr>
        <w:t xml:space="preserve">α </w:t>
      </w:r>
      <w:r>
        <w:rPr>
          <w:rFonts w:asciiTheme="majorBidi" w:hAnsiTheme="majorBidi" w:cstheme="majorBidi"/>
          <w:sz w:val="28"/>
          <w:szCs w:val="28"/>
        </w:rPr>
        <w:t>(T-T</w:t>
      </w:r>
      <w:r w:rsidRPr="009C6F98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))</w:t>
      </w:r>
    </w:p>
    <w:p w:rsidR="001F19A7" w:rsidRDefault="001F19A7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Results:</w:t>
      </w:r>
    </w:p>
    <w:p w:rsidR="00F01311" w:rsidRPr="009B2206" w:rsidRDefault="00F01311" w:rsidP="009B220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</w:t>
      </w:r>
      <w:r>
        <w:rPr>
          <w:rFonts w:asciiTheme="majorBidi" w:hAnsiTheme="majorBidi" w:cstheme="majorBidi"/>
          <w:sz w:val="28"/>
          <w:szCs w:val="28"/>
          <w:vertAlign w:val="subscript"/>
        </w:rPr>
        <w:t>1=</w:t>
      </w:r>
      <w:r>
        <w:rPr>
          <w:rFonts w:asciiTheme="majorBidi" w:hAnsiTheme="majorBidi" w:cstheme="majorBidi"/>
          <w:sz w:val="28"/>
          <w:szCs w:val="28"/>
        </w:rPr>
        <w:t>(1</w:t>
      </w:r>
      <w:r w:rsidR="003771C2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8±0.2) 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3771C2">
        <w:rPr>
          <w:rFonts w:asciiTheme="majorBidi" w:hAnsiTheme="majorBidi" w:cstheme="majorBidi"/>
          <w:sz w:val="28"/>
          <w:szCs w:val="28"/>
          <w:vertAlign w:val="superscript"/>
        </w:rPr>
        <w:t>5</w:t>
      </w:r>
      <w:r w:rsidR="00990B23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="00990B23" w:rsidRPr="009B2206">
        <w:rPr>
          <w:rFonts w:asciiTheme="majorBidi" w:hAnsiTheme="majorBidi" w:cstheme="majorBidi"/>
          <w:sz w:val="28"/>
          <w:szCs w:val="28"/>
        </w:rPr>
        <w:t>(1/c</w:t>
      </w:r>
      <w:r w:rsidR="009B2206" w:rsidRPr="009B2206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="009B2206">
        <w:rPr>
          <w:rFonts w:asciiTheme="majorBidi" w:hAnsiTheme="majorBidi" w:cstheme="majorBidi"/>
          <w:sz w:val="28"/>
          <w:szCs w:val="28"/>
        </w:rPr>
        <w:t>)</w:t>
      </w:r>
    </w:p>
    <w:p w:rsidR="00F01311" w:rsidRDefault="00F01311" w:rsidP="00F013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</w:t>
      </w:r>
      <w:r w:rsidRPr="00EA3243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= (2</w:t>
      </w:r>
      <w:r w:rsidR="003771C2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10 ± 0.15)X10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3771C2">
        <w:rPr>
          <w:rFonts w:asciiTheme="majorBidi" w:hAnsiTheme="majorBidi" w:cstheme="majorBidi"/>
          <w:sz w:val="28"/>
          <w:szCs w:val="28"/>
          <w:vertAlign w:val="superscript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(1/c</w:t>
      </w:r>
      <w:r w:rsidRPr="00163E0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F01311" w:rsidRPr="00EA3243" w:rsidRDefault="00F01311" w:rsidP="00F013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α(</w:t>
      </w:r>
      <w:proofErr w:type="spellStart"/>
      <w:r>
        <w:rPr>
          <w:rFonts w:asciiTheme="majorBidi" w:hAnsiTheme="majorBidi" w:cstheme="majorBidi"/>
          <w:sz w:val="28"/>
          <w:szCs w:val="28"/>
        </w:rPr>
        <w:t>avg</w:t>
      </w:r>
      <w:proofErr w:type="spellEnd"/>
      <w:r>
        <w:rPr>
          <w:rFonts w:asciiTheme="majorBidi" w:hAnsiTheme="majorBidi" w:cstheme="majorBidi"/>
          <w:sz w:val="28"/>
          <w:szCs w:val="28"/>
        </w:rPr>
        <w:t>)= (1</w:t>
      </w:r>
      <w:r w:rsidR="003771C2">
        <w:rPr>
          <w:rFonts w:asciiTheme="majorBidi" w:hAnsiTheme="majorBidi" w:cstheme="majorBidi"/>
          <w:sz w:val="28"/>
          <w:szCs w:val="28"/>
        </w:rPr>
        <w:t>.</w:t>
      </w:r>
      <w:r w:rsidRPr="00EA3243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>7±0.19)</w:t>
      </w:r>
      <w:r w:rsidRPr="00EA324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X10</w:t>
      </w:r>
      <w:r w:rsidR="003771C2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(1/c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1F19A7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hAnsiTheme="majorBidi" w:cstheme="majorBidi"/>
          <w:sz w:val="28"/>
          <w:szCs w:val="28"/>
        </w:rPr>
      </w:pPr>
      <w:r w:rsidRPr="00FF1610">
        <w:rPr>
          <w:rFonts w:asciiTheme="majorBidi" w:hAnsiTheme="majorBidi" w:cstheme="majorBidi"/>
          <w:sz w:val="28"/>
          <w:szCs w:val="28"/>
        </w:rPr>
        <w:t>Theory:</w:t>
      </w:r>
    </w:p>
    <w:p w:rsidR="001F19A7" w:rsidRDefault="001F19A7" w:rsidP="001F19A7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Thermal expansion  is the </w:t>
      </w:r>
      <w:r w:rsidR="009C6F98">
        <w:rPr>
          <w:rFonts w:asciiTheme="majorBidi" w:eastAsiaTheme="minorEastAsia" w:hAnsiTheme="majorBidi" w:cstheme="majorBidi"/>
          <w:sz w:val="28"/>
          <w:szCs w:val="28"/>
        </w:rPr>
        <w:t>tendency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of  matter to change  in volume in response to the change in </w:t>
      </w:r>
      <w:r w:rsidR="009C6F98">
        <w:rPr>
          <w:rFonts w:asciiTheme="majorBidi" w:eastAsiaTheme="minorEastAsia" w:hAnsiTheme="majorBidi" w:cstheme="majorBidi"/>
          <w:sz w:val="28"/>
          <w:szCs w:val="28"/>
        </w:rPr>
        <w:t>temperature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1F19A7" w:rsidRDefault="001F19A7" w:rsidP="001F19A7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When a substance is heated its molecules is pushed further 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</w:rPr>
        <w:t>a part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</w:rPr>
        <w:t xml:space="preserve">  and usually maintains a  higher separation than it would have in the normal </w:t>
      </w:r>
      <w:r w:rsidR="009C6F98">
        <w:rPr>
          <w:rFonts w:asciiTheme="majorBidi" w:eastAsiaTheme="minorEastAsia" w:hAnsiTheme="majorBidi" w:cstheme="majorBidi"/>
          <w:sz w:val="28"/>
          <w:szCs w:val="28"/>
        </w:rPr>
        <w:t>temperature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, some materials  also contract by the increase of </w:t>
      </w:r>
      <w:r w:rsidR="009C6F98">
        <w:rPr>
          <w:rFonts w:asciiTheme="majorBidi" w:eastAsiaTheme="minorEastAsia" w:hAnsiTheme="majorBidi" w:cstheme="majorBidi"/>
          <w:sz w:val="28"/>
          <w:szCs w:val="28"/>
        </w:rPr>
        <w:t>temperature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but such materials are rare ,</w:t>
      </w:r>
      <w:r w:rsidR="009C6F98">
        <w:rPr>
          <w:rFonts w:asciiTheme="majorBidi" w:eastAsiaTheme="minorEastAsia" w:hAnsiTheme="majorBidi" w:cstheme="majorBidi"/>
          <w:sz w:val="28"/>
          <w:szCs w:val="28"/>
        </w:rPr>
        <w:t xml:space="preserve">the degree of expansion divided by the  change in temperature is called the materials coefficient of thermal expansion  and generally  varies with temperature </w:t>
      </w:r>
      <w:r w:rsidR="009C6F98" w:rsidRPr="009C6F98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1</w:t>
      </w:r>
      <w:r w:rsidR="009C6F98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9C6F98" w:rsidRDefault="009C6F98" w:rsidP="009C6F98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The linear  thermal expansion  coefficient ,CLTE (</w:t>
      </w:r>
      <w:r>
        <w:rPr>
          <w:rFonts w:asciiTheme="majorBidi" w:hAnsiTheme="majorBidi" w:cstheme="majorBidi"/>
          <w:sz w:val="28"/>
          <w:szCs w:val="28"/>
        </w:rPr>
        <w:t>α</w:t>
      </w:r>
      <w:r>
        <w:rPr>
          <w:rFonts w:asciiTheme="majorBidi" w:eastAsiaTheme="minorEastAsia" w:hAnsiTheme="majorBidi" w:cstheme="majorBidi"/>
          <w:sz w:val="28"/>
          <w:szCs w:val="28"/>
        </w:rPr>
        <w:t>), is calculated as :</w:t>
      </w:r>
    </w:p>
    <w:p w:rsidR="009C6F98" w:rsidRDefault="009C6F98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α= ∆L/(L</w:t>
      </w:r>
      <w:r w:rsidRPr="009C6F98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*∆ T)</w:t>
      </w:r>
    </w:p>
    <w:p w:rsidR="00F972DB" w:rsidRPr="00F972DB" w:rsidRDefault="00F972DB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</w:t>
      </w:r>
      <w:r w:rsidRPr="00F972DB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original length of the sample .</w:t>
      </w:r>
    </w:p>
    <w:p w:rsidR="009C6F98" w:rsidRDefault="009C6F98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∆L change in length of sample.</w:t>
      </w:r>
    </w:p>
    <w:p w:rsidR="009C6F98" w:rsidRPr="009C6F98" w:rsidRDefault="009C6F98" w:rsidP="001F19A7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∆T temperature change during the test </w:t>
      </w:r>
    </w:p>
    <w:p w:rsidR="00F01311" w:rsidRDefault="00F01311" w:rsidP="001F19A7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F01311" w:rsidRDefault="00F01311" w:rsidP="001F19A7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F01311" w:rsidRDefault="00F01311" w:rsidP="001F19A7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F01311" w:rsidRDefault="00F01311" w:rsidP="001F19A7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F01311" w:rsidRDefault="00F01311" w:rsidP="001F19A7">
      <w:pPr>
        <w:rPr>
          <w:rFonts w:asciiTheme="majorBidi" w:eastAsiaTheme="minorEastAsia" w:hAnsiTheme="majorBidi" w:cstheme="majorBidi"/>
          <w:sz w:val="28"/>
          <w:szCs w:val="28"/>
        </w:rPr>
      </w:pPr>
    </w:p>
    <w:p w:rsidR="001F19A7" w:rsidRPr="00FF1610" w:rsidRDefault="001F19A7" w:rsidP="001F19A7">
      <w:pPr>
        <w:rPr>
          <w:rFonts w:asciiTheme="majorBidi" w:eastAsiaTheme="minorEastAsia" w:hAnsiTheme="majorBidi" w:cstheme="majorBidi"/>
          <w:iCs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lastRenderedPageBreak/>
        <w:t>Procedure:</w:t>
      </w:r>
    </w:p>
    <w:p w:rsidR="0050536A" w:rsidRPr="00F01311" w:rsidRDefault="00474A1B" w:rsidP="00F01311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The apparatus used is  of a brass rod fixed at one end  and the other end is allowed to expand against a back of a mirror which is held by a rubber  band ,and a laser light  which is reflected  from the mirror to a metric measuring instrument (in our experiment  a ruler was used) to indicate the distance  of  the mirror from that of the laser source </w:t>
      </w:r>
      <w:r w:rsidR="00F01311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50536A" w:rsidRDefault="0050536A" w:rsidP="001F19A7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First part : </w:t>
      </w:r>
    </w:p>
    <w:p w:rsidR="00776410" w:rsidRDefault="0050536A" w:rsidP="001F19A7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calibration :</w:t>
      </w:r>
    </w:p>
    <w:p w:rsidR="00776410" w:rsidRDefault="00776410" w:rsidP="00776410">
      <w:pPr>
        <w:pStyle w:val="a3"/>
        <w:rPr>
          <w:rFonts w:asciiTheme="majorBidi" w:eastAsiaTheme="minorEastAsia" w:hAnsiTheme="majorBidi" w:cstheme="majorBidi"/>
          <w:sz w:val="28"/>
          <w:szCs w:val="28"/>
          <w:vertAlign w:val="subscript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the length of the rod from the  point of clamping to the point at its touching the mirror was measured this was taken to be L</w:t>
      </w:r>
      <w:r w:rsidRPr="00776410">
        <w:rPr>
          <w:rFonts w:asciiTheme="majorBidi" w:eastAsiaTheme="minorEastAsia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</w:p>
    <w:p w:rsidR="001F19A7" w:rsidRPr="00776410" w:rsidRDefault="00474A1B" w:rsidP="00776410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f</w:t>
      </w:r>
      <w:r w:rsidRPr="00776410">
        <w:rPr>
          <w:rFonts w:asciiTheme="majorBidi" w:eastAsiaTheme="minorEastAsia" w:hAnsiTheme="majorBidi" w:cstheme="majorBidi"/>
          <w:sz w:val="28"/>
          <w:szCs w:val="28"/>
        </w:rPr>
        <w:t xml:space="preserve">or calibration a few slips of known thickness   </w:t>
      </w:r>
      <w:r w:rsidR="004247C8" w:rsidRPr="00776410">
        <w:rPr>
          <w:rFonts w:asciiTheme="majorBidi" w:eastAsiaTheme="minorEastAsia" w:hAnsiTheme="majorBidi" w:cstheme="majorBidi"/>
          <w:sz w:val="28"/>
          <w:szCs w:val="28"/>
        </w:rPr>
        <w:t>were used to find the reflection giv</w:t>
      </w:r>
      <w:r w:rsidR="0050536A" w:rsidRPr="00776410">
        <w:rPr>
          <w:rFonts w:asciiTheme="majorBidi" w:eastAsiaTheme="minorEastAsia" w:hAnsiTheme="majorBidi" w:cstheme="majorBidi"/>
          <w:sz w:val="28"/>
          <w:szCs w:val="28"/>
        </w:rPr>
        <w:t>en at a certain thicknesses</w:t>
      </w:r>
      <w:r w:rsidR="00776410" w:rsidRPr="00776410">
        <w:rPr>
          <w:rFonts w:asciiTheme="majorBidi" w:eastAsiaTheme="minorEastAsia" w:hAnsiTheme="majorBidi" w:cstheme="majorBidi"/>
          <w:sz w:val="28"/>
          <w:szCs w:val="28"/>
        </w:rPr>
        <w:t xml:space="preserve"> measure the thickness of the ten slips and then  divide that by ten to find the thickness of a single slip  </w:t>
      </w:r>
      <w:r w:rsidR="0050536A" w:rsidRPr="00776410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50536A" w:rsidRDefault="0050536A" w:rsidP="001F19A7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50536A" w:rsidRDefault="0050536A" w:rsidP="001F19A7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second part :</w:t>
      </w:r>
    </w:p>
    <w:p w:rsidR="0050536A" w:rsidRDefault="0050536A" w:rsidP="0050536A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by the work done by the resistance  of  the </w:t>
      </w:r>
      <w:r w:rsidRPr="0050536A">
        <w:rPr>
          <w:rFonts w:asciiTheme="majorBidi" w:eastAsiaTheme="minorEastAsia" w:hAnsiTheme="majorBidi" w:cstheme="majorBidi"/>
          <w:sz w:val="28"/>
          <w:szCs w:val="28"/>
        </w:rPr>
        <w:t>coil wire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the brass rod is heated by the electricity until no more expansion is noticed ,</w:t>
      </w:r>
    </w:p>
    <w:p w:rsidR="0050536A" w:rsidRDefault="0050536A" w:rsidP="0050536A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for every five  degrees the temperature increases  a reading  is recorded  for the  change in the  length .and  same thing is done upon cooling  as  a five degrees  decline a reading is to be recorded.</w:t>
      </w:r>
    </w:p>
    <w:p w:rsidR="0050536A" w:rsidRPr="00FF1610" w:rsidRDefault="0050536A" w:rsidP="0050536A">
      <w:pPr>
        <w:pStyle w:val="a3"/>
        <w:rPr>
          <w:rFonts w:asciiTheme="majorBidi" w:eastAsiaTheme="minorEastAsia" w:hAnsiTheme="majorBidi" w:cstheme="majorBidi"/>
          <w:sz w:val="28"/>
          <w:szCs w:val="28"/>
        </w:rPr>
      </w:pPr>
    </w:p>
    <w:p w:rsidR="001F19A7" w:rsidRDefault="001F19A7" w:rsidP="001F19A7">
      <w:pPr>
        <w:rPr>
          <w:rFonts w:asciiTheme="majorBidi" w:eastAsiaTheme="minorEastAsia" w:hAnsiTheme="majorBidi" w:cstheme="majorBidi"/>
          <w:sz w:val="28"/>
          <w:szCs w:val="28"/>
        </w:rPr>
      </w:pPr>
      <w:r w:rsidRPr="00FF1610">
        <w:rPr>
          <w:rFonts w:asciiTheme="majorBidi" w:eastAsiaTheme="minorEastAsia" w:hAnsiTheme="majorBidi" w:cstheme="majorBidi"/>
          <w:sz w:val="28"/>
          <w:szCs w:val="28"/>
        </w:rPr>
        <w:t xml:space="preserve">Data </w:t>
      </w:r>
      <w:r w:rsidR="004127B6">
        <w:rPr>
          <w:rFonts w:asciiTheme="majorBidi" w:eastAsiaTheme="minorEastAsia" w:hAnsiTheme="majorBidi" w:cstheme="majorBidi"/>
          <w:sz w:val="28"/>
          <w:szCs w:val="28"/>
        </w:rPr>
        <w:t>and calculation</w:t>
      </w:r>
      <w:r w:rsidRPr="00FF1610">
        <w:rPr>
          <w:rFonts w:asciiTheme="majorBidi" w:eastAsiaTheme="minorEastAsia" w:hAnsiTheme="majorBidi" w:cstheme="majorBidi"/>
          <w:sz w:val="28"/>
          <w:szCs w:val="28"/>
        </w:rPr>
        <w:t>:</w:t>
      </w:r>
    </w:p>
    <w:p w:rsidR="004127B6" w:rsidRDefault="004127B6" w:rsidP="001F19A7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Part1:</w:t>
      </w:r>
    </w:p>
    <w:p w:rsidR="00894344" w:rsidRPr="00FF1610" w:rsidRDefault="00894344" w:rsidP="001F19A7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Calibration curve: </w:t>
      </w:r>
    </w:p>
    <w:tbl>
      <w:tblPr>
        <w:tblStyle w:val="a4"/>
        <w:tblW w:w="2013" w:type="dxa"/>
        <w:tblLook w:val="04A0"/>
      </w:tblPr>
      <w:tblGrid>
        <w:gridCol w:w="1053"/>
        <w:gridCol w:w="960"/>
      </w:tblGrid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T (m)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scale (m)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0.142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0.000126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0.147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0.000252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0.151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0.000378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0.155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0.000504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0.00063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0.164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0.000756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0.169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0.000882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0.171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0.001008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0.176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0.001134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0.181</w:t>
            </w:r>
          </w:p>
        </w:tc>
      </w:tr>
      <w:tr w:rsidR="00F972DB" w:rsidRPr="00F972DB" w:rsidTr="00F01311">
        <w:trPr>
          <w:trHeight w:val="300"/>
        </w:trPr>
        <w:tc>
          <w:tcPr>
            <w:tcW w:w="1053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0.00126</w:t>
            </w:r>
          </w:p>
        </w:tc>
        <w:tc>
          <w:tcPr>
            <w:tcW w:w="960" w:type="dxa"/>
            <w:noWrap/>
            <w:hideMark/>
          </w:tcPr>
          <w:p w:rsidR="00F972DB" w:rsidRPr="00F972DB" w:rsidRDefault="00F972DB" w:rsidP="00F972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72DB">
              <w:rPr>
                <w:rFonts w:ascii="Calibri" w:eastAsia="Times New Roman" w:hAnsi="Calibri" w:cs="Calibri"/>
                <w:color w:val="000000"/>
              </w:rPr>
              <w:t>0.186</w:t>
            </w:r>
          </w:p>
        </w:tc>
      </w:tr>
    </w:tbl>
    <w:p w:rsidR="001F19A7" w:rsidRDefault="00F01311" w:rsidP="001F19A7">
      <w:pPr>
        <w:rPr>
          <w:rFonts w:asciiTheme="majorBidi" w:hAnsiTheme="majorBidi" w:cstheme="majorBidi"/>
          <w:sz w:val="28"/>
          <w:szCs w:val="28"/>
        </w:rPr>
      </w:pPr>
      <w:r w:rsidRPr="00F01311">
        <w:rPr>
          <w:rFonts w:asciiTheme="majorBidi" w:hAnsiTheme="majorBidi" w:cstheme="majorBidi"/>
          <w:sz w:val="28"/>
          <w:szCs w:val="28"/>
        </w:rPr>
        <w:lastRenderedPageBreak/>
        <w:drawing>
          <wp:inline distT="0" distB="0" distL="0" distR="0">
            <wp:extent cx="5486400" cy="2472983"/>
            <wp:effectExtent l="19050" t="0" r="19050" b="3517"/>
            <wp:docPr id="6" name="مخطط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27B6" w:rsidRDefault="00F01311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Calibration curve .</w:t>
      </w:r>
    </w:p>
    <w:p w:rsidR="004127B6" w:rsidRDefault="004127B6" w:rsidP="001F19A7">
      <w:pPr>
        <w:rPr>
          <w:rFonts w:asciiTheme="majorBidi" w:hAnsiTheme="majorBidi" w:cstheme="majorBidi"/>
          <w:sz w:val="28"/>
          <w:szCs w:val="28"/>
        </w:rPr>
      </w:pPr>
    </w:p>
    <w:p w:rsidR="004127B6" w:rsidRDefault="004127B6" w:rsidP="001F19A7">
      <w:pPr>
        <w:rPr>
          <w:rFonts w:asciiTheme="majorBidi" w:hAnsiTheme="majorBidi" w:cstheme="majorBidi"/>
          <w:sz w:val="28"/>
          <w:szCs w:val="28"/>
        </w:rPr>
      </w:pPr>
    </w:p>
    <w:p w:rsidR="004127B6" w:rsidRDefault="004127B6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Part 2 L </w:t>
      </w:r>
      <w:proofErr w:type="spellStart"/>
      <w:r>
        <w:rPr>
          <w:rFonts w:asciiTheme="majorBidi" w:hAnsiTheme="majorBidi" w:cstheme="majorBidi"/>
          <w:sz w:val="28"/>
          <w:szCs w:val="28"/>
        </w:rPr>
        <w:t>vs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 :</w:t>
      </w:r>
    </w:p>
    <w:p w:rsidR="004127B6" w:rsidRDefault="004127B6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HEATING:</w:t>
      </w:r>
    </w:p>
    <w:tbl>
      <w:tblPr>
        <w:tblStyle w:val="a4"/>
        <w:tblW w:w="7764" w:type="dxa"/>
        <w:tblLook w:val="04A0"/>
      </w:tblPr>
      <w:tblGrid>
        <w:gridCol w:w="976"/>
        <w:gridCol w:w="1836"/>
        <w:gridCol w:w="2516"/>
        <w:gridCol w:w="2436"/>
      </w:tblGrid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T (c0)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 xml:space="preserve">scale  heating (m) 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T(m)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L (m)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0.145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5.47030201825349E-05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0.502054703020183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8.34940834365009E-05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0.502083494083437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0.147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1.12285146690467E-04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0.502112285146690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0.148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1.41076209944433E-04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0.502141076209944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1.98658336452365E-04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0.502198658336452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0.152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2.56240462960297E-04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0.502256240462960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0.154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3.13822589468229E-04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0.502313822589468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0.154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3.13822589468229E-04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0.502313822589468</w:t>
            </w:r>
          </w:p>
        </w:tc>
      </w:tr>
      <w:tr w:rsidR="004127B6" w:rsidRPr="004127B6" w:rsidTr="004127B6">
        <w:trPr>
          <w:trHeight w:val="300"/>
        </w:trPr>
        <w:tc>
          <w:tcPr>
            <w:tcW w:w="97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8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0.155</w:t>
            </w:r>
          </w:p>
        </w:tc>
        <w:tc>
          <w:tcPr>
            <w:tcW w:w="251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3.42613652722195E-04</w:t>
            </w:r>
          </w:p>
        </w:tc>
        <w:tc>
          <w:tcPr>
            <w:tcW w:w="2436" w:type="dxa"/>
            <w:noWrap/>
            <w:hideMark/>
          </w:tcPr>
          <w:p w:rsidR="004127B6" w:rsidRPr="004127B6" w:rsidRDefault="004127B6" w:rsidP="004127B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27B6">
              <w:rPr>
                <w:rFonts w:ascii="Calibri" w:eastAsia="Times New Roman" w:hAnsi="Calibri" w:cs="Calibri"/>
                <w:color w:val="000000"/>
              </w:rPr>
              <w:t>0.502342613652722</w:t>
            </w:r>
          </w:p>
        </w:tc>
      </w:tr>
    </w:tbl>
    <w:p w:rsidR="004127B6" w:rsidRDefault="004127B6" w:rsidP="001F19A7">
      <w:pPr>
        <w:rPr>
          <w:rFonts w:asciiTheme="majorBidi" w:hAnsiTheme="majorBidi" w:cstheme="majorBidi"/>
          <w:sz w:val="28"/>
          <w:szCs w:val="28"/>
        </w:rPr>
      </w:pPr>
    </w:p>
    <w:p w:rsidR="00894344" w:rsidRDefault="004127B6" w:rsidP="001F19A7">
      <w:pPr>
        <w:rPr>
          <w:rFonts w:asciiTheme="majorBidi" w:hAnsiTheme="majorBidi" w:cstheme="majorBidi"/>
          <w:sz w:val="28"/>
          <w:szCs w:val="28"/>
        </w:rPr>
      </w:pPr>
      <w:r w:rsidRPr="004127B6">
        <w:rPr>
          <w:rFonts w:asciiTheme="majorBidi" w:hAnsiTheme="majorBidi" w:cstheme="majorBidi"/>
          <w:sz w:val="28"/>
          <w:szCs w:val="28"/>
        </w:rPr>
        <w:drawing>
          <wp:inline distT="0" distB="0" distL="0" distR="0">
            <wp:extent cx="5267325" cy="2533650"/>
            <wp:effectExtent l="19050" t="0" r="9525" b="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7DE4" w:rsidRDefault="00A015FD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L=L</w:t>
      </w:r>
      <w:r w:rsidRPr="009C6F98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+(1+</w:t>
      </w:r>
      <w:r w:rsidRPr="009C6F9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α (T-T</w:t>
      </w:r>
      <w:r w:rsidRPr="009C6F98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))</w:t>
      </w:r>
    </w:p>
    <w:p w:rsidR="00A015FD" w:rsidRDefault="00A015FD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 </w:t>
      </w:r>
      <w:proofErr w:type="spellStart"/>
      <w:r>
        <w:rPr>
          <w:rFonts w:asciiTheme="majorBidi" w:hAnsiTheme="majorBidi" w:cstheme="majorBidi"/>
          <w:sz w:val="28"/>
          <w:szCs w:val="28"/>
        </w:rPr>
        <w:t>vs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T,L=L0+L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αT-L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αT</w:t>
      </w:r>
      <w:r w:rsidRPr="009C6F98">
        <w:rPr>
          <w:rFonts w:asciiTheme="majorBidi" w:hAnsiTheme="majorBidi" w:cstheme="majorBidi"/>
          <w:sz w:val="28"/>
          <w:szCs w:val="28"/>
          <w:vertAlign w:val="subscript"/>
        </w:rPr>
        <w:t>0</w:t>
      </w:r>
    </w:p>
    <w:p w:rsidR="00A015FD" w:rsidRDefault="00A015FD" w:rsidP="00A015FD">
      <w:pPr>
        <w:rPr>
          <w:rFonts w:asciiTheme="majorBidi" w:hAnsiTheme="majorBidi" w:cstheme="majorBidi"/>
          <w:sz w:val="28"/>
          <w:szCs w:val="28"/>
          <w:vertAlign w:val="subscript"/>
        </w:rPr>
      </w:pPr>
      <w:r>
        <w:rPr>
          <w:rFonts w:asciiTheme="majorBidi" w:hAnsiTheme="majorBidi" w:cstheme="majorBidi"/>
          <w:sz w:val="28"/>
          <w:szCs w:val="28"/>
        </w:rPr>
        <w:t>Slope=</w:t>
      </w:r>
      <w:r w:rsidRPr="00A015F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α L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Y-intercept=L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-L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αT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</w:p>
    <w:p w:rsidR="00A70387" w:rsidRDefault="00A70387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α </w:t>
      </w:r>
      <w:r w:rsidRPr="00A70387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=</w:t>
      </w:r>
      <w:r w:rsidRPr="00A015F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Slope/ L</w:t>
      </w:r>
      <w:r w:rsidRPr="00A015FD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= 0.0000092/0.502=</w:t>
      </w:r>
      <w:r w:rsidR="00EA3243">
        <w:rPr>
          <w:rFonts w:asciiTheme="majorBidi" w:hAnsiTheme="majorBidi" w:cstheme="majorBidi"/>
          <w:sz w:val="28"/>
          <w:szCs w:val="28"/>
        </w:rPr>
        <w:t>1.83X</w:t>
      </w:r>
      <w:r>
        <w:rPr>
          <w:rFonts w:asciiTheme="majorBidi" w:hAnsiTheme="majorBidi" w:cstheme="majorBidi"/>
          <w:sz w:val="28"/>
          <w:szCs w:val="28"/>
        </w:rPr>
        <w:t>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</w:rPr>
        <w:t xml:space="preserve"> (1/c</w:t>
      </w:r>
      <w:r w:rsidRPr="00A70387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A70387" w:rsidRDefault="00A70387" w:rsidP="00A70387">
      <w:pPr>
        <w:rPr>
          <w:rFonts w:asciiTheme="majorBidi" w:hAnsiTheme="majorBidi" w:cstheme="majorBidi"/>
          <w:sz w:val="28"/>
          <w:szCs w:val="28"/>
          <w:vertAlign w:val="subscript"/>
        </w:rPr>
      </w:pPr>
      <w:r>
        <w:rPr>
          <w:rFonts w:asciiTheme="majorBidi" w:hAnsiTheme="majorBidi" w:cstheme="majorBidi"/>
          <w:sz w:val="28"/>
          <w:szCs w:val="28"/>
        </w:rPr>
        <w:t>∆</w:t>
      </w:r>
      <w:r w:rsidRPr="00A7038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α/</w:t>
      </w:r>
      <w:r w:rsidRPr="00A7038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α= ∆slope/slope +∆L</w:t>
      </w:r>
      <w:r w:rsidRPr="00A70387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/L</w:t>
      </w:r>
      <w:r w:rsidRPr="00A70387">
        <w:rPr>
          <w:rFonts w:asciiTheme="majorBidi" w:hAnsiTheme="majorBidi" w:cstheme="majorBidi"/>
          <w:sz w:val="28"/>
          <w:szCs w:val="28"/>
          <w:vertAlign w:val="subscript"/>
        </w:rPr>
        <w:t>0</w:t>
      </w:r>
    </w:p>
    <w:p w:rsidR="00A70387" w:rsidRDefault="00163E03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∆</w:t>
      </w:r>
      <w:r w:rsidRPr="00A7038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α</w:t>
      </w:r>
      <w:r w:rsidR="00EA3243">
        <w:rPr>
          <w:rFonts w:asciiTheme="majorBidi" w:hAnsiTheme="majorBidi" w:cstheme="majorBidi"/>
          <w:sz w:val="28"/>
          <w:szCs w:val="28"/>
        </w:rPr>
        <w:t>=2.3X</w:t>
      </w:r>
      <w:r>
        <w:rPr>
          <w:rFonts w:asciiTheme="majorBidi" w:hAnsiTheme="majorBidi" w:cstheme="majorBidi"/>
          <w:sz w:val="28"/>
          <w:szCs w:val="28"/>
        </w:rPr>
        <w:t>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-6</w:t>
      </w:r>
      <w:r>
        <w:rPr>
          <w:rFonts w:asciiTheme="majorBidi" w:hAnsiTheme="majorBidi" w:cstheme="majorBidi"/>
          <w:sz w:val="28"/>
          <w:szCs w:val="28"/>
        </w:rPr>
        <w:t xml:space="preserve"> (1/c</w:t>
      </w:r>
      <w:r w:rsidRPr="00163E0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163E03" w:rsidRDefault="00163E03" w:rsidP="00A70387">
      <w:pPr>
        <w:rPr>
          <w:rFonts w:asciiTheme="majorBidi" w:hAnsiTheme="majorBidi" w:cstheme="majorBidi"/>
          <w:sz w:val="28"/>
          <w:szCs w:val="28"/>
        </w:rPr>
      </w:pPr>
    </w:p>
    <w:p w:rsidR="00163E03" w:rsidRPr="00163E03" w:rsidRDefault="00163E03" w:rsidP="00A70387">
      <w:pPr>
        <w:rPr>
          <w:rFonts w:asciiTheme="majorBidi" w:hAnsiTheme="majorBidi" w:cstheme="majorBidi"/>
          <w:sz w:val="28"/>
          <w:szCs w:val="28"/>
        </w:rPr>
      </w:pPr>
    </w:p>
    <w:p w:rsidR="004127B6" w:rsidRDefault="004127B6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COOLING:</w:t>
      </w:r>
    </w:p>
    <w:tbl>
      <w:tblPr>
        <w:tblStyle w:val="a4"/>
        <w:tblW w:w="5241" w:type="dxa"/>
        <w:tblLook w:val="04A0"/>
      </w:tblPr>
      <w:tblGrid>
        <w:gridCol w:w="976"/>
        <w:gridCol w:w="1696"/>
        <w:gridCol w:w="1516"/>
        <w:gridCol w:w="1053"/>
      </w:tblGrid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T (c0)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scale cooling (m)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T(m)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L (m)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0.142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-3.16702E-05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0.501968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0.143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-2.87911E-06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0.501997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0.143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-2.87911E-06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0.501997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0.144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2.5912E-05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0.502026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8.34941E-05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0.502083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0.148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0.000141076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0.502141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0.149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0.000169867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0.50217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0.151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0.000227449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0.502227</w:t>
            </w:r>
          </w:p>
        </w:tc>
      </w:tr>
      <w:tr w:rsidR="00EB7DE4" w:rsidRPr="00EB7DE4" w:rsidTr="00EB7DE4">
        <w:trPr>
          <w:trHeight w:val="300"/>
        </w:trPr>
        <w:tc>
          <w:tcPr>
            <w:tcW w:w="97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69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0.155</w:t>
            </w:r>
          </w:p>
        </w:tc>
        <w:tc>
          <w:tcPr>
            <w:tcW w:w="1516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0.000342614</w:t>
            </w:r>
          </w:p>
        </w:tc>
        <w:tc>
          <w:tcPr>
            <w:tcW w:w="1053" w:type="dxa"/>
            <w:noWrap/>
            <w:hideMark/>
          </w:tcPr>
          <w:p w:rsidR="00EB7DE4" w:rsidRPr="00EB7DE4" w:rsidRDefault="00EB7DE4" w:rsidP="00EB7DE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7DE4">
              <w:rPr>
                <w:rFonts w:ascii="Calibri" w:eastAsia="Times New Roman" w:hAnsi="Calibri" w:cs="Calibri"/>
                <w:color w:val="000000"/>
              </w:rPr>
              <w:t>0.502343</w:t>
            </w:r>
          </w:p>
        </w:tc>
      </w:tr>
    </w:tbl>
    <w:p w:rsidR="00EB7DE4" w:rsidRDefault="00EB7DE4" w:rsidP="001F19A7">
      <w:pPr>
        <w:rPr>
          <w:rFonts w:asciiTheme="majorBidi" w:hAnsiTheme="majorBidi" w:cstheme="majorBidi"/>
          <w:sz w:val="28"/>
          <w:szCs w:val="28"/>
        </w:rPr>
      </w:pPr>
    </w:p>
    <w:p w:rsidR="00EB7DE4" w:rsidRDefault="00EB7DE4" w:rsidP="001F19A7">
      <w:pPr>
        <w:rPr>
          <w:rFonts w:asciiTheme="majorBidi" w:hAnsiTheme="majorBidi" w:cstheme="majorBidi"/>
          <w:sz w:val="28"/>
          <w:szCs w:val="28"/>
        </w:rPr>
      </w:pPr>
      <w:r w:rsidRPr="00EB7DE4">
        <w:rPr>
          <w:rFonts w:asciiTheme="majorBidi" w:hAnsiTheme="majorBidi" w:cstheme="majorBidi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E03" w:rsidRDefault="00163E03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Slope = αL</w:t>
      </w:r>
      <w:r w:rsidRPr="00163E03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, Y-intercept=L</w:t>
      </w:r>
      <w:r w:rsidRPr="00163E03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-L</w:t>
      </w:r>
      <w:r w:rsidRPr="00163E03">
        <w:rPr>
          <w:rFonts w:asciiTheme="majorBidi" w:hAnsiTheme="majorBidi" w:cstheme="majorBidi"/>
          <w:sz w:val="28"/>
          <w:szCs w:val="28"/>
          <w:vertAlign w:val="subscript"/>
        </w:rPr>
        <w:t>0</w:t>
      </w:r>
      <w:r>
        <w:rPr>
          <w:rFonts w:asciiTheme="majorBidi" w:hAnsiTheme="majorBidi" w:cstheme="majorBidi"/>
          <w:sz w:val="28"/>
          <w:szCs w:val="28"/>
        </w:rPr>
        <w:t>αT</w:t>
      </w:r>
      <w:r w:rsidRPr="00163E03">
        <w:rPr>
          <w:rFonts w:asciiTheme="majorBidi" w:hAnsiTheme="majorBidi" w:cstheme="majorBidi"/>
          <w:sz w:val="28"/>
          <w:szCs w:val="28"/>
          <w:vertAlign w:val="subscript"/>
        </w:rPr>
        <w:t>0</w:t>
      </w:r>
    </w:p>
    <w:p w:rsidR="00163E03" w:rsidRPr="00163E03" w:rsidRDefault="00EA3243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</w:t>
      </w:r>
      <w:r w:rsidRPr="00EA324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63E03">
        <w:rPr>
          <w:rFonts w:asciiTheme="majorBidi" w:hAnsiTheme="majorBidi" w:cstheme="majorBidi"/>
          <w:sz w:val="28"/>
          <w:szCs w:val="28"/>
        </w:rPr>
        <w:t xml:space="preserve">= </w:t>
      </w:r>
      <w:r w:rsidR="00163E03" w:rsidRPr="00163E03">
        <w:rPr>
          <w:rFonts w:asciiTheme="majorBidi" w:hAnsiTheme="majorBidi" w:cstheme="majorBidi"/>
          <w:sz w:val="28"/>
          <w:szCs w:val="28"/>
        </w:rPr>
        <w:t>0.0000105</w:t>
      </w:r>
      <w:r w:rsidR="00163E03">
        <w:rPr>
          <w:rFonts w:asciiTheme="majorBidi" w:hAnsiTheme="majorBidi" w:cstheme="majorBidi"/>
          <w:sz w:val="28"/>
          <w:szCs w:val="28"/>
        </w:rPr>
        <w:t>/0.502 =</w:t>
      </w:r>
      <w:r w:rsidR="00163E03" w:rsidRPr="00163E03">
        <w:rPr>
          <w:rFonts w:asciiTheme="majorBidi" w:hAnsiTheme="majorBidi" w:cstheme="majorBidi"/>
          <w:sz w:val="28"/>
          <w:szCs w:val="28"/>
        </w:rPr>
        <w:t>2.</w:t>
      </w:r>
      <w:r w:rsidR="00163E03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X</w:t>
      </w:r>
      <w:r w:rsidR="00163E03">
        <w:rPr>
          <w:rFonts w:asciiTheme="majorBidi" w:hAnsiTheme="majorBidi" w:cstheme="majorBidi"/>
          <w:sz w:val="28"/>
          <w:szCs w:val="28"/>
        </w:rPr>
        <w:t>10</w:t>
      </w:r>
      <w:r w:rsidR="00163E03"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="00163E03">
        <w:rPr>
          <w:rFonts w:asciiTheme="majorBidi" w:hAnsiTheme="majorBidi" w:cstheme="majorBidi"/>
          <w:sz w:val="28"/>
          <w:szCs w:val="28"/>
        </w:rPr>
        <w:t xml:space="preserve"> (1/c</w:t>
      </w:r>
      <w:r w:rsidR="00163E03" w:rsidRPr="00163E0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="00163E03">
        <w:rPr>
          <w:rFonts w:asciiTheme="majorBidi" w:hAnsiTheme="majorBidi" w:cstheme="majorBidi"/>
          <w:sz w:val="28"/>
          <w:szCs w:val="28"/>
        </w:rPr>
        <w:t>)</w:t>
      </w:r>
    </w:p>
    <w:p w:rsidR="004127B6" w:rsidRDefault="00EA3243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∆α=1.5X10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-6</w:t>
      </w:r>
      <w:r>
        <w:rPr>
          <w:rFonts w:asciiTheme="majorBidi" w:hAnsiTheme="majorBidi" w:cstheme="majorBidi"/>
          <w:sz w:val="28"/>
          <w:szCs w:val="28"/>
        </w:rPr>
        <w:t xml:space="preserve"> (1/c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EA3243" w:rsidRPr="00EA3243" w:rsidRDefault="00EA3243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α(</w:t>
      </w:r>
      <w:proofErr w:type="spellStart"/>
      <w:r>
        <w:rPr>
          <w:rFonts w:asciiTheme="majorBidi" w:hAnsiTheme="majorBidi" w:cstheme="majorBidi"/>
          <w:sz w:val="28"/>
          <w:szCs w:val="28"/>
        </w:rPr>
        <w:t>avg</w:t>
      </w:r>
      <w:proofErr w:type="spellEnd"/>
      <w:r>
        <w:rPr>
          <w:rFonts w:asciiTheme="majorBidi" w:hAnsiTheme="majorBidi" w:cstheme="majorBidi"/>
          <w:sz w:val="28"/>
          <w:szCs w:val="28"/>
        </w:rPr>
        <w:t>)= (</w:t>
      </w:r>
      <w:r w:rsidRPr="00EA3243">
        <w:rPr>
          <w:rFonts w:asciiTheme="majorBidi" w:hAnsiTheme="majorBidi" w:cstheme="majorBidi"/>
          <w:sz w:val="28"/>
          <w:szCs w:val="28"/>
        </w:rPr>
        <w:t>1.9</w:t>
      </w:r>
      <w:r>
        <w:rPr>
          <w:rFonts w:asciiTheme="majorBidi" w:hAnsiTheme="majorBidi" w:cstheme="majorBidi"/>
          <w:sz w:val="28"/>
          <w:szCs w:val="28"/>
        </w:rPr>
        <w:t>7±0.19)</w:t>
      </w:r>
      <w:r w:rsidRPr="00EA324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(1/c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1F19A7" w:rsidRPr="003771C2" w:rsidRDefault="001F19A7" w:rsidP="001F19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771C2">
        <w:rPr>
          <w:rFonts w:asciiTheme="majorBidi" w:hAnsiTheme="majorBidi" w:cstheme="majorBidi"/>
          <w:b/>
          <w:bCs/>
          <w:sz w:val="28"/>
          <w:szCs w:val="28"/>
        </w:rPr>
        <w:t>Results :</w:t>
      </w:r>
    </w:p>
    <w:p w:rsidR="00EA3243" w:rsidRDefault="00193822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</w:t>
      </w:r>
      <w:r>
        <w:rPr>
          <w:rFonts w:asciiTheme="majorBidi" w:hAnsiTheme="majorBidi" w:cstheme="majorBidi"/>
          <w:sz w:val="28"/>
          <w:szCs w:val="28"/>
          <w:vertAlign w:val="subscript"/>
        </w:rPr>
        <w:t>1=</w:t>
      </w:r>
      <w:r>
        <w:rPr>
          <w:rFonts w:asciiTheme="majorBidi" w:hAnsiTheme="majorBidi" w:cstheme="majorBidi"/>
          <w:sz w:val="28"/>
          <w:szCs w:val="28"/>
        </w:rPr>
        <w:t>(</w:t>
      </w:r>
      <w:r w:rsidR="00EA3243">
        <w:rPr>
          <w:rFonts w:asciiTheme="majorBidi" w:hAnsiTheme="majorBidi" w:cstheme="majorBidi"/>
          <w:sz w:val="28"/>
          <w:szCs w:val="28"/>
        </w:rPr>
        <w:t>1.83</w:t>
      </w:r>
      <w:r>
        <w:rPr>
          <w:rFonts w:asciiTheme="majorBidi" w:hAnsiTheme="majorBidi" w:cstheme="majorBidi"/>
          <w:sz w:val="28"/>
          <w:szCs w:val="28"/>
        </w:rPr>
        <w:t xml:space="preserve">±0.2) </w:t>
      </w:r>
      <w:r w:rsidR="00EA3243">
        <w:rPr>
          <w:rFonts w:asciiTheme="majorBidi" w:hAnsiTheme="majorBidi" w:cstheme="majorBidi"/>
          <w:sz w:val="28"/>
          <w:szCs w:val="28"/>
        </w:rPr>
        <w:t>X10</w:t>
      </w:r>
      <w:r w:rsidR="00EA3243"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</w:p>
    <w:p w:rsidR="001F19A7" w:rsidRDefault="00EA3243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</w:t>
      </w:r>
      <w:r w:rsidRPr="00EA3243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= (</w:t>
      </w:r>
      <w:r w:rsidRPr="00163E03">
        <w:rPr>
          <w:rFonts w:asciiTheme="majorBidi" w:hAnsiTheme="majorBidi" w:cstheme="majorBidi"/>
          <w:sz w:val="28"/>
          <w:szCs w:val="28"/>
        </w:rPr>
        <w:t>2.</w:t>
      </w:r>
      <w:r>
        <w:rPr>
          <w:rFonts w:asciiTheme="majorBidi" w:hAnsiTheme="majorBidi" w:cstheme="majorBidi"/>
          <w:sz w:val="28"/>
          <w:szCs w:val="28"/>
        </w:rPr>
        <w:t>1 ± 0.15)X10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</w:rPr>
        <w:t xml:space="preserve"> (1/c</w:t>
      </w:r>
      <w:r w:rsidRPr="00163E0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EA3243" w:rsidRPr="00EA3243" w:rsidRDefault="00EA3243" w:rsidP="00EA324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α(</w:t>
      </w:r>
      <w:proofErr w:type="spellStart"/>
      <w:r>
        <w:rPr>
          <w:rFonts w:asciiTheme="majorBidi" w:hAnsiTheme="majorBidi" w:cstheme="majorBidi"/>
          <w:sz w:val="28"/>
          <w:szCs w:val="28"/>
        </w:rPr>
        <w:t>avg</w:t>
      </w:r>
      <w:proofErr w:type="spellEnd"/>
      <w:r>
        <w:rPr>
          <w:rFonts w:asciiTheme="majorBidi" w:hAnsiTheme="majorBidi" w:cstheme="majorBidi"/>
          <w:sz w:val="28"/>
          <w:szCs w:val="28"/>
        </w:rPr>
        <w:t>)= (</w:t>
      </w:r>
      <w:r w:rsidRPr="00EA3243">
        <w:rPr>
          <w:rFonts w:asciiTheme="majorBidi" w:hAnsiTheme="majorBidi" w:cstheme="majorBidi"/>
          <w:sz w:val="28"/>
          <w:szCs w:val="28"/>
        </w:rPr>
        <w:t>1.9</w:t>
      </w:r>
      <w:r>
        <w:rPr>
          <w:rFonts w:asciiTheme="majorBidi" w:hAnsiTheme="majorBidi" w:cstheme="majorBidi"/>
          <w:sz w:val="28"/>
          <w:szCs w:val="28"/>
        </w:rPr>
        <w:t>7±0.19)</w:t>
      </w:r>
      <w:r w:rsidRPr="00EA324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(1/c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1F19A7" w:rsidRDefault="001F19A7" w:rsidP="001F19A7">
      <w:pPr>
        <w:rPr>
          <w:rFonts w:asciiTheme="majorBidi" w:hAnsiTheme="majorBidi" w:cstheme="majorBidi"/>
          <w:sz w:val="28"/>
          <w:szCs w:val="28"/>
        </w:rPr>
      </w:pPr>
    </w:p>
    <w:p w:rsidR="00193822" w:rsidRPr="003771C2" w:rsidRDefault="00193822" w:rsidP="001F19A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F19A7" w:rsidRPr="003771C2" w:rsidRDefault="001F19A7" w:rsidP="001F19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771C2">
        <w:rPr>
          <w:rFonts w:asciiTheme="majorBidi" w:hAnsiTheme="majorBidi" w:cstheme="majorBidi"/>
          <w:b/>
          <w:bCs/>
          <w:sz w:val="28"/>
          <w:szCs w:val="28"/>
        </w:rPr>
        <w:t>Discussion of results:</w:t>
      </w:r>
    </w:p>
    <w:p w:rsidR="00193822" w:rsidRDefault="00193822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Theoretical value of the expansion coefficient is 1.9x10</w:t>
      </w:r>
      <w:r w:rsidRPr="00193822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</w:rPr>
        <w:t xml:space="preserve"> 1/c</w:t>
      </w:r>
      <w:r w:rsidRPr="00193822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  which is very close to the experimental value obtained .</w:t>
      </w:r>
    </w:p>
    <w:p w:rsidR="00193822" w:rsidRPr="00FF1610" w:rsidRDefault="00193822" w:rsidP="001F19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Also  a source of error is  that while taking the data  the observer should record both the temp and the scale </w:t>
      </w:r>
      <w:r w:rsidR="007F4C3B">
        <w:rPr>
          <w:rFonts w:asciiTheme="majorBidi" w:hAnsiTheme="majorBidi" w:cstheme="majorBidi"/>
          <w:sz w:val="28"/>
          <w:szCs w:val="28"/>
        </w:rPr>
        <w:t xml:space="preserve">which as he turns his head by </w:t>
      </w:r>
      <w:proofErr w:type="spellStart"/>
      <w:r w:rsidR="007F4C3B">
        <w:rPr>
          <w:rFonts w:asciiTheme="majorBidi" w:hAnsiTheme="majorBidi" w:cstheme="majorBidi"/>
          <w:sz w:val="28"/>
          <w:szCs w:val="28"/>
        </w:rPr>
        <w:t>mili</w:t>
      </w:r>
      <w:proofErr w:type="spellEnd"/>
      <w:r w:rsidR="007F4C3B">
        <w:rPr>
          <w:rFonts w:asciiTheme="majorBidi" w:hAnsiTheme="majorBidi" w:cstheme="majorBidi"/>
          <w:sz w:val="28"/>
          <w:szCs w:val="28"/>
        </w:rPr>
        <w:t xml:space="preserve"> seconds the observed scale would be not for the same exact temp he read since its already being increased by the coils work on the rod .</w:t>
      </w:r>
    </w:p>
    <w:p w:rsidR="001F19A7" w:rsidRPr="003771C2" w:rsidRDefault="001F19A7" w:rsidP="001F19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771C2">
        <w:rPr>
          <w:rFonts w:asciiTheme="majorBidi" w:hAnsiTheme="majorBidi" w:cstheme="majorBidi"/>
          <w:b/>
          <w:bCs/>
          <w:sz w:val="28"/>
          <w:szCs w:val="28"/>
        </w:rPr>
        <w:t>Conclusion :</w:t>
      </w:r>
    </w:p>
    <w:p w:rsidR="00F01311" w:rsidRPr="00EA3243" w:rsidRDefault="00F01311" w:rsidP="00F013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thermal expansion coefficient α= (</w:t>
      </w:r>
      <w:r w:rsidRPr="00EA3243">
        <w:rPr>
          <w:rFonts w:asciiTheme="majorBidi" w:hAnsiTheme="majorBidi" w:cstheme="majorBidi"/>
          <w:sz w:val="28"/>
          <w:szCs w:val="28"/>
        </w:rPr>
        <w:t>1.9</w:t>
      </w:r>
      <w:r>
        <w:rPr>
          <w:rFonts w:asciiTheme="majorBidi" w:hAnsiTheme="majorBidi" w:cstheme="majorBidi"/>
          <w:sz w:val="28"/>
          <w:szCs w:val="28"/>
        </w:rPr>
        <w:t>7±0.19)</w:t>
      </w:r>
      <w:r w:rsidRPr="00EA324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X10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(1/c</w:t>
      </w:r>
      <w:r w:rsidRPr="00EA324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>
        <w:rPr>
          <w:rFonts w:asciiTheme="majorBidi" w:hAnsiTheme="majorBidi" w:cstheme="majorBidi"/>
          <w:sz w:val="28"/>
          <w:szCs w:val="28"/>
        </w:rPr>
        <w:t xml:space="preserve">) </w:t>
      </w:r>
    </w:p>
    <w:p w:rsidR="007F4C3B" w:rsidRDefault="00F01311" w:rsidP="00F013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Of the Brass rod that’s in the department of physics at the university of Birzeit.</w:t>
      </w:r>
    </w:p>
    <w:p w:rsidR="00F01311" w:rsidRDefault="00F01311" w:rsidP="00F01311">
      <w:pPr>
        <w:rPr>
          <w:rFonts w:asciiTheme="majorBidi" w:hAnsiTheme="majorBidi" w:cstheme="majorBidi"/>
          <w:sz w:val="28"/>
          <w:szCs w:val="28"/>
        </w:rPr>
      </w:pPr>
    </w:p>
    <w:p w:rsidR="009C6F98" w:rsidRPr="003771C2" w:rsidRDefault="009C6F9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771C2">
        <w:rPr>
          <w:rFonts w:asciiTheme="majorBidi" w:hAnsiTheme="majorBidi" w:cstheme="majorBidi"/>
          <w:b/>
          <w:bCs/>
          <w:sz w:val="28"/>
          <w:szCs w:val="28"/>
        </w:rPr>
        <w:t>References:</w:t>
      </w:r>
    </w:p>
    <w:p w:rsidR="00495A27" w:rsidRDefault="009C6F98" w:rsidP="009C6F98">
      <w:pPr>
        <w:pStyle w:val="a3"/>
        <w:numPr>
          <w:ilvl w:val="0"/>
          <w:numId w:val="4"/>
        </w:numPr>
      </w:pPr>
      <w:hyperlink r:id="rId8" w:history="1">
        <w:r w:rsidRPr="00A44C00">
          <w:rPr>
            <w:rStyle w:val="Hyperlink"/>
          </w:rPr>
          <w:t>http://en.wikipedia.org/wiki/thermal_expantion</w:t>
        </w:r>
      </w:hyperlink>
      <w:r>
        <w:t xml:space="preserve"> </w:t>
      </w:r>
    </w:p>
    <w:p w:rsidR="00F01311" w:rsidRDefault="00F01311" w:rsidP="009C6F98">
      <w:pPr>
        <w:pStyle w:val="a3"/>
        <w:numPr>
          <w:ilvl w:val="0"/>
          <w:numId w:val="4"/>
        </w:numPr>
      </w:pPr>
      <w:hyperlink r:id="rId9" w:history="1">
        <w:r>
          <w:rPr>
            <w:rStyle w:val="Hyperlink"/>
          </w:rPr>
          <w:t>http://hyperphysics.phy-astr.gsu.edu/hbase/tables/thexp.html</w:t>
        </w:r>
      </w:hyperlink>
    </w:p>
    <w:sectPr w:rsidR="00F01311" w:rsidSect="003C59D6">
      <w:pgSz w:w="12240" w:h="15840"/>
      <w:pgMar w:top="90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A64"/>
    <w:multiLevelType w:val="hybridMultilevel"/>
    <w:tmpl w:val="3AAAD5E0"/>
    <w:lvl w:ilvl="0" w:tplc="EBEA08B4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67697"/>
    <w:multiLevelType w:val="hybridMultilevel"/>
    <w:tmpl w:val="A3AA3F28"/>
    <w:lvl w:ilvl="0" w:tplc="C80C1A12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6C4A2D5F"/>
    <w:multiLevelType w:val="hybridMultilevel"/>
    <w:tmpl w:val="07EC47D0"/>
    <w:lvl w:ilvl="0" w:tplc="0B948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170387"/>
    <w:multiLevelType w:val="hybridMultilevel"/>
    <w:tmpl w:val="B99E54CA"/>
    <w:lvl w:ilvl="0" w:tplc="9C862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19A7"/>
    <w:rsid w:val="00163E03"/>
    <w:rsid w:val="00193822"/>
    <w:rsid w:val="001F19A7"/>
    <w:rsid w:val="003771C2"/>
    <w:rsid w:val="004127B6"/>
    <w:rsid w:val="004247C8"/>
    <w:rsid w:val="00474A1B"/>
    <w:rsid w:val="00495A27"/>
    <w:rsid w:val="0050536A"/>
    <w:rsid w:val="00776410"/>
    <w:rsid w:val="007F4C3B"/>
    <w:rsid w:val="00894344"/>
    <w:rsid w:val="00990B23"/>
    <w:rsid w:val="009B2206"/>
    <w:rsid w:val="009C6F98"/>
    <w:rsid w:val="00A015FD"/>
    <w:rsid w:val="00A70387"/>
    <w:rsid w:val="00CE7D37"/>
    <w:rsid w:val="00EA3243"/>
    <w:rsid w:val="00EB7DE4"/>
    <w:rsid w:val="00F01311"/>
    <w:rsid w:val="00F9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A7"/>
    <w:pPr>
      <w:ind w:left="720"/>
      <w:contextualSpacing/>
    </w:pPr>
  </w:style>
  <w:style w:type="table" w:styleId="a4">
    <w:name w:val="Table Grid"/>
    <w:basedOn w:val="a1"/>
    <w:uiPriority w:val="59"/>
    <w:rsid w:val="001F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F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F19A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C6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thermal_expantion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yperphysics.phy-astr.gsu.edu/hbase/tables/thexp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baseline="0"/>
              <a:t>scale vs thickness </a:t>
            </a:r>
            <a:endParaRPr lang="en-US"/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T (m) vs scale (m)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68455575432319671"/>
                  <c:y val="-0.13461832895888015"/>
                </c:manualLayout>
              </c:layout>
              <c:numFmt formatCode="General" sourceLinked="0"/>
            </c:trendlineLbl>
          </c:trendline>
          <c:xVal>
            <c:numRef>
              <c:f>ورقة1!$A$2:$A$12</c:f>
              <c:numCache>
                <c:formatCode>General</c:formatCode>
                <c:ptCount val="11"/>
                <c:pt idx="0">
                  <c:v>0</c:v>
                </c:pt>
                <c:pt idx="1">
                  <c:v>1.06E-4</c:v>
                </c:pt>
                <c:pt idx="2">
                  <c:v>2.12E-4</c:v>
                </c:pt>
                <c:pt idx="3">
                  <c:v>3.3799999999999998E-4</c:v>
                </c:pt>
                <c:pt idx="4">
                  <c:v>4.64E-4</c:v>
                </c:pt>
                <c:pt idx="5">
                  <c:v>5.9000000000000003E-4</c:v>
                </c:pt>
                <c:pt idx="6">
                  <c:v>7.1600000000000006E-4</c:v>
                </c:pt>
                <c:pt idx="7">
                  <c:v>8.4200000000000008E-4</c:v>
                </c:pt>
                <c:pt idx="8">
                  <c:v>9.6800000000000011E-4</c:v>
                </c:pt>
                <c:pt idx="9">
                  <c:v>1.0940000000000001E-3</c:v>
                </c:pt>
                <c:pt idx="10">
                  <c:v>1.2200000000000002E-3</c:v>
                </c:pt>
              </c:numCache>
            </c:numRef>
          </c:xVal>
          <c:yVal>
            <c:numRef>
              <c:f>ورقة1!$B$2:$B$12</c:f>
              <c:numCache>
                <c:formatCode>General</c:formatCode>
                <c:ptCount val="11"/>
                <c:pt idx="0">
                  <c:v>0.14199999999999999</c:v>
                </c:pt>
                <c:pt idx="1">
                  <c:v>0.14699999999999999</c:v>
                </c:pt>
                <c:pt idx="2">
                  <c:v>0.151</c:v>
                </c:pt>
                <c:pt idx="3">
                  <c:v>0.155</c:v>
                </c:pt>
                <c:pt idx="4">
                  <c:v>0.16</c:v>
                </c:pt>
                <c:pt idx="5">
                  <c:v>0.16400000000000001</c:v>
                </c:pt>
                <c:pt idx="6">
                  <c:v>0.16900000000000001</c:v>
                </c:pt>
                <c:pt idx="7">
                  <c:v>0.17100000000000001</c:v>
                </c:pt>
                <c:pt idx="8">
                  <c:v>0.17599999999999999</c:v>
                </c:pt>
                <c:pt idx="9">
                  <c:v>0.18099999999999999</c:v>
                </c:pt>
                <c:pt idx="10">
                  <c:v>0.186</c:v>
                </c:pt>
              </c:numCache>
            </c:numRef>
          </c:yVal>
          <c:smooth val="1"/>
        </c:ser>
        <c:axId val="81416576"/>
        <c:axId val="81440128"/>
      </c:scatterChart>
      <c:valAx>
        <c:axId val="814165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/>
                  <a:t>thickness T (m)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81440128"/>
        <c:crosses val="autoZero"/>
        <c:crossBetween val="midCat"/>
      </c:valAx>
      <c:valAx>
        <c:axId val="814401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scale</a:t>
                </a:r>
                <a:r>
                  <a:rPr lang="en-US" baseline="0"/>
                  <a:t> (m)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81416576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L(m) vs T(c</a:t>
            </a:r>
            <a:r>
              <a:rPr lang="en-US" baseline="30000"/>
              <a:t>0</a:t>
            </a:r>
            <a:r>
              <a:rPr lang="en-US"/>
              <a:t>) heating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L(m) vs T(c0)</c:v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41127948080124188"/>
                  <c:y val="-0.19944715003110161"/>
                </c:manualLayout>
              </c:layout>
              <c:numFmt formatCode="&quot;$&quot;#,##0.0000000" sourceLinked="0"/>
            </c:trendlineLbl>
          </c:trendline>
          <c:xVal>
            <c:numRef>
              <c:f>ورقة1!$E$2:$E$10</c:f>
              <c:numCache>
                <c:formatCode>General</c:formatCode>
                <c:ptCount val="9"/>
                <c:pt idx="0">
                  <c:v>22</c:v>
                </c:pt>
                <c:pt idx="1">
                  <c:v>24</c:v>
                </c:pt>
                <c:pt idx="2">
                  <c:v>26</c:v>
                </c:pt>
                <c:pt idx="3">
                  <c:v>28</c:v>
                </c:pt>
                <c:pt idx="4">
                  <c:v>35</c:v>
                </c:pt>
                <c:pt idx="5">
                  <c:v>40</c:v>
                </c:pt>
                <c:pt idx="6">
                  <c:v>45</c:v>
                </c:pt>
                <c:pt idx="7">
                  <c:v>50</c:v>
                </c:pt>
                <c:pt idx="8">
                  <c:v>53</c:v>
                </c:pt>
              </c:numCache>
            </c:numRef>
          </c:xVal>
          <c:yVal>
            <c:numRef>
              <c:f>ورقة1!$H$2:$H$10</c:f>
              <c:numCache>
                <c:formatCode>0.000000000000000</c:formatCode>
                <c:ptCount val="9"/>
                <c:pt idx="0">
                  <c:v>0.50205470302018251</c:v>
                </c:pt>
                <c:pt idx="1">
                  <c:v>0.50208349408343655</c:v>
                </c:pt>
                <c:pt idx="2">
                  <c:v>0.50211228514669048</c:v>
                </c:pt>
                <c:pt idx="3">
                  <c:v>0.50214107620994441</c:v>
                </c:pt>
                <c:pt idx="4">
                  <c:v>0.50219865833645239</c:v>
                </c:pt>
                <c:pt idx="5">
                  <c:v>0.50225624046296025</c:v>
                </c:pt>
                <c:pt idx="6">
                  <c:v>0.50231382258946822</c:v>
                </c:pt>
                <c:pt idx="7">
                  <c:v>0.50231382258946822</c:v>
                </c:pt>
                <c:pt idx="8">
                  <c:v>0.50234261365272215</c:v>
                </c:pt>
              </c:numCache>
            </c:numRef>
          </c:yVal>
        </c:ser>
        <c:axId val="47790336"/>
        <c:axId val="67234048"/>
      </c:scatterChart>
      <c:valAx>
        <c:axId val="47790336"/>
        <c:scaling>
          <c:orientation val="minMax"/>
          <c:min val="2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 (c</a:t>
                </a:r>
                <a:r>
                  <a:rPr lang="en-US" baseline="30000"/>
                  <a:t>0</a:t>
                </a:r>
                <a:r>
                  <a:rPr lang="en-US"/>
                  <a:t>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67234048"/>
        <c:crosses val="autoZero"/>
        <c:crossBetween val="midCat"/>
      </c:valAx>
      <c:valAx>
        <c:axId val="67234048"/>
        <c:scaling>
          <c:orientation val="minMax"/>
          <c:min val="0.502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L(m)</a:t>
                </a:r>
                <a:endParaRPr lang="ar-SA"/>
              </a:p>
            </c:rich>
          </c:tx>
          <c:layout/>
        </c:title>
        <c:numFmt formatCode="0.0000" sourceLinked="0"/>
        <c:majorTickMark val="none"/>
        <c:tickLblPos val="nextTo"/>
        <c:crossAx val="47790336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scatterChart>
        <c:scatterStyle val="lineMarker"/>
        <c:ser>
          <c:idx val="0"/>
          <c:order val="0"/>
          <c:tx>
            <c:v>L(m) vs T(c0) cooling</c:v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41166316710411199"/>
                  <c:y val="-0.12754082822980461"/>
                </c:manualLayout>
              </c:layout>
              <c:numFmt formatCode="#,##0.0000000" sourceLinked="0"/>
            </c:trendlineLbl>
          </c:trendline>
          <c:xVal>
            <c:numRef>
              <c:f>ورقة1!$K$2:$K$10</c:f>
              <c:numCache>
                <c:formatCode>General</c:formatCode>
                <c:ptCount val="9"/>
                <c:pt idx="0">
                  <c:v>22</c:v>
                </c:pt>
                <c:pt idx="1">
                  <c:v>24</c:v>
                </c:pt>
                <c:pt idx="2">
                  <c:v>26</c:v>
                </c:pt>
                <c:pt idx="3">
                  <c:v>28</c:v>
                </c:pt>
                <c:pt idx="4">
                  <c:v>35</c:v>
                </c:pt>
                <c:pt idx="5">
                  <c:v>40</c:v>
                </c:pt>
                <c:pt idx="6">
                  <c:v>45</c:v>
                </c:pt>
                <c:pt idx="7">
                  <c:v>50</c:v>
                </c:pt>
                <c:pt idx="8">
                  <c:v>53</c:v>
                </c:pt>
              </c:numCache>
            </c:numRef>
          </c:xVal>
          <c:yVal>
            <c:numRef>
              <c:f>ورقة1!$N$2:$N$10</c:f>
              <c:numCache>
                <c:formatCode>General</c:formatCode>
                <c:ptCount val="9"/>
                <c:pt idx="0">
                  <c:v>0.50196832983042061</c:v>
                </c:pt>
                <c:pt idx="1">
                  <c:v>0.50199712089367465</c:v>
                </c:pt>
                <c:pt idx="2">
                  <c:v>0.50199712089367465</c:v>
                </c:pt>
                <c:pt idx="3">
                  <c:v>0.50202591195692858</c:v>
                </c:pt>
                <c:pt idx="4">
                  <c:v>0.50208349408343655</c:v>
                </c:pt>
                <c:pt idx="5">
                  <c:v>0.50214107620994441</c:v>
                </c:pt>
                <c:pt idx="6">
                  <c:v>0.50216986727319846</c:v>
                </c:pt>
                <c:pt idx="7">
                  <c:v>0.50222744939970632</c:v>
                </c:pt>
                <c:pt idx="8">
                  <c:v>0.50234261365272215</c:v>
                </c:pt>
              </c:numCache>
            </c:numRef>
          </c:yVal>
        </c:ser>
        <c:axId val="76633600"/>
        <c:axId val="76635520"/>
      </c:scatterChart>
      <c:valAx>
        <c:axId val="76633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en-US" baseline="0"/>
                  <a:t> (c0)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76635520"/>
        <c:crosses val="autoZero"/>
        <c:crossBetween val="midCat"/>
      </c:valAx>
      <c:valAx>
        <c:axId val="766355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L(m)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76633600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2012-03-20T22:29:00Z</dcterms:created>
  <dcterms:modified xsi:type="dcterms:W3CDTF">2012-03-20T22:33:00Z</dcterms:modified>
</cp:coreProperties>
</file>