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01380555"/>
    <w:bookmarkEnd w:id="0"/>
    <w:bookmarkStart w:id="1" w:name="_MON_994217180"/>
    <w:bookmarkEnd w:id="1"/>
    <w:p w14:paraId="202B84FC" w14:textId="77777777" w:rsidR="00314242" w:rsidRDefault="00314242" w:rsidP="00F82266">
      <w:pPr>
        <w:bidi/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>
        <w:rPr>
          <w:b/>
          <w:bCs/>
          <w:sz w:val="44"/>
          <w:szCs w:val="44"/>
        </w:rPr>
        <w:object w:dxaOrig="2386" w:dyaOrig="511" w14:anchorId="0142E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2.25pt" o:ole="" fillcolor="window">
            <v:imagedata r:id="rId4" o:title=""/>
          </v:shape>
          <o:OLEObject Type="Embed" ProgID="Word.Picture.8" ShapeID="_x0000_i1025" DrawAspect="Content" ObjectID="_1801461794" r:id="rId5"/>
        </w:object>
      </w:r>
      <w:bookmarkStart w:id="2" w:name="_GoBack"/>
      <w:bookmarkEnd w:id="2"/>
    </w:p>
    <w:p w14:paraId="40997091" w14:textId="77777777" w:rsidR="00FC186B" w:rsidRDefault="00FC186B" w:rsidP="00314242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دائرة اللغة العربية وآدابها</w:t>
      </w:r>
    </w:p>
    <w:p w14:paraId="59804D48" w14:textId="206CBE63" w:rsidR="00737595" w:rsidRDefault="00712201" w:rsidP="00AB772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خطة </w:t>
      </w:r>
      <w:r w:rsidR="00995B98" w:rsidRPr="0008314D">
        <w:rPr>
          <w:rFonts w:ascii="Arabic Typesetting" w:hAnsi="Arabic Typesetting" w:cs="Arabic Typesetting"/>
          <w:b/>
          <w:bCs/>
          <w:sz w:val="32"/>
          <w:szCs w:val="32"/>
          <w:rtl/>
        </w:rPr>
        <w:t>مساق مهارات اللغة العربية 136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925A76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  <w:t>الثاني 2024-2025</w:t>
      </w:r>
    </w:p>
    <w:p w14:paraId="28F4F18D" w14:textId="44391C41" w:rsidR="00E027C9" w:rsidRPr="00782AC4" w:rsidRDefault="00E027C9" w:rsidP="00E027C9">
      <w:pPr>
        <w:bidi/>
        <w:jc w:val="right"/>
        <w:rPr>
          <w:rFonts w:ascii="Arabic Typesetting" w:hAnsi="Arabic Typesetting" w:cs="Arabic Typesetting"/>
          <w:sz w:val="32"/>
          <w:szCs w:val="32"/>
          <w:rtl/>
        </w:rPr>
      </w:pPr>
      <w:r w:rsidRPr="00782AC4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منسق المساق: </w:t>
      </w:r>
      <w:r w:rsidR="006E1CA0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د. </w:t>
      </w:r>
      <w:r w:rsidR="00C20E08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غدير </w:t>
      </w:r>
      <w:proofErr w:type="spellStart"/>
      <w:r w:rsidR="00C20E08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الخروبي</w:t>
      </w:r>
      <w:proofErr w:type="spellEnd"/>
    </w:p>
    <w:p w14:paraId="66CA31B8" w14:textId="77777777" w:rsidR="00FC47A5" w:rsidRPr="00FC186B" w:rsidRDefault="00F82266" w:rsidP="00BE6A09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C186B">
        <w:rPr>
          <w:rFonts w:ascii="Arabic Typesetting" w:hAnsi="Arabic Typesetting" w:cs="Arabic Typesetting"/>
          <w:b/>
          <w:bCs/>
          <w:sz w:val="36"/>
          <w:szCs w:val="36"/>
          <w:rtl/>
        </w:rPr>
        <w:t>أولا: وصف المساق</w:t>
      </w:r>
    </w:p>
    <w:p w14:paraId="75E259E6" w14:textId="77777777" w:rsidR="00FB1EF5" w:rsidRPr="00FC186B" w:rsidRDefault="006877E8" w:rsidP="00D80AED">
      <w:pPr>
        <w:bidi/>
        <w:jc w:val="both"/>
        <w:rPr>
          <w:rFonts w:ascii="Arabic Typesetting" w:hAnsi="Arabic Typesetting" w:cs="Arabic Typesetting"/>
          <w:color w:val="000000"/>
          <w:sz w:val="32"/>
          <w:szCs w:val="32"/>
          <w:rtl/>
        </w:rPr>
      </w:pPr>
      <w:r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>بنية الفقرة والمقالة والرسالة الرسمية،</w:t>
      </w:r>
      <w:r w:rsidR="00437C3D"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 xml:space="preserve"> وشروطها وأنواعها، ومناقشتها شكلا ومضمونا. كتابة هذه الأنواع وفق ش</w:t>
      </w:r>
      <w:r w:rsidR="00D80AED"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>روطها التنظيمية بلغة سليمة</w:t>
      </w:r>
      <w:r w:rsidR="00D80AED" w:rsidRPr="00FC186B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نسبيا</w:t>
      </w:r>
      <w:r w:rsidR="00437C3D"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>، ومراعية لقواعد الرسم الإملائي، وعلامات الترقيم.</w:t>
      </w:r>
      <w:r w:rsidR="009D6D16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أسس كتابة مراجعات الكتب وشروطها التنظيمية. </w:t>
      </w:r>
      <w:r w:rsidR="00437C3D"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>قراءة نصوص أدبية وثقافية متنوعة قراءة مدققة، وفهم أفكارها الأساسية ومعانيها الضمنية، وإبداء وجهة النظر فيها، واستثمارها لإثراء الحصيلة اللغوية، وتوليد الأفكار، وإعادة إنتاجها بشكل منظ</w:t>
      </w:r>
      <w:r w:rsidR="00D80AED" w:rsidRPr="00FC186B">
        <w:rPr>
          <w:rFonts w:ascii="Arabic Typesetting" w:hAnsi="Arabic Typesetting" w:cs="Arabic Typesetting"/>
          <w:color w:val="000000"/>
          <w:sz w:val="32"/>
          <w:szCs w:val="32"/>
          <w:rtl/>
        </w:rPr>
        <w:t>م في المستويين الكتابي والشفوي.</w:t>
      </w:r>
      <w:r w:rsidR="00D80AED" w:rsidRPr="00FC186B">
        <w:rPr>
          <w:rFonts w:ascii="Arabic Typesetting" w:hAnsi="Arabic Typesetting" w:cs="Arabic Typesetting" w:hint="cs"/>
          <w:color w:val="000000"/>
          <w:sz w:val="32"/>
          <w:szCs w:val="32"/>
          <w:rtl/>
        </w:rPr>
        <w:t xml:space="preserve"> </w:t>
      </w:r>
    </w:p>
    <w:p w14:paraId="079FC8A4" w14:textId="77777777" w:rsidR="002668F0" w:rsidRPr="00FC186B" w:rsidRDefault="002668F0" w:rsidP="002668F0">
      <w:pPr>
        <w:bidi/>
        <w:jc w:val="both"/>
        <w:rPr>
          <w:rFonts w:ascii="Arabic Typesetting" w:hAnsi="Arabic Typesetting" w:cs="Arabic Typesetting"/>
          <w:color w:val="000000"/>
          <w:sz w:val="2"/>
          <w:szCs w:val="2"/>
          <w:rtl/>
        </w:rPr>
      </w:pPr>
    </w:p>
    <w:p w14:paraId="17E0E744" w14:textId="77777777" w:rsidR="00FC47A5" w:rsidRPr="0008314D" w:rsidRDefault="00F82266" w:rsidP="00480529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C186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ثانيا: </w:t>
      </w:r>
      <w:r w:rsidR="00480529"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أهداف المساق</w:t>
      </w:r>
    </w:p>
    <w:p w14:paraId="2A14CB36" w14:textId="77777777" w:rsidR="00FC47A5" w:rsidRPr="0008314D" w:rsidRDefault="00AE629E" w:rsidP="00D80AE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يهدف هذا المساق إلى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>: تط</w:t>
      </w:r>
      <w:r w:rsidR="00CB36F1">
        <w:rPr>
          <w:rFonts w:ascii="Arabic Typesetting" w:hAnsi="Arabic Typesetting" w:cs="Arabic Typesetting"/>
          <w:sz w:val="32"/>
          <w:szCs w:val="32"/>
          <w:rtl/>
        </w:rPr>
        <w:t>وير مقدرة الطلبة على كتابة نصوص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 xml:space="preserve">مركبة </w:t>
      </w:r>
      <w:r w:rsidR="00D80AED">
        <w:rPr>
          <w:rFonts w:ascii="Arabic Typesetting" w:hAnsi="Arabic Typesetting" w:cs="Arabic Typesetting" w:hint="cs"/>
          <w:sz w:val="32"/>
          <w:szCs w:val="32"/>
          <w:rtl/>
        </w:rPr>
        <w:t>بلغة سليمة نسبيا</w:t>
      </w:r>
      <w:r w:rsidR="009537FA">
        <w:rPr>
          <w:rFonts w:ascii="Arabic Typesetting" w:hAnsi="Arabic Typesetting" w:cs="Arabic Typesetting" w:hint="cs"/>
          <w:sz w:val="32"/>
          <w:szCs w:val="32"/>
          <w:rtl/>
        </w:rPr>
        <w:t xml:space="preserve">، 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>ومراعية لق</w:t>
      </w:r>
      <w:r w:rsidR="00D80AED">
        <w:rPr>
          <w:rFonts w:ascii="Arabic Typesetting" w:hAnsi="Arabic Typesetting" w:cs="Arabic Typesetting"/>
          <w:sz w:val="32"/>
          <w:szCs w:val="32"/>
          <w:rtl/>
        </w:rPr>
        <w:t>واعد</w:t>
      </w:r>
      <w:r w:rsidR="00932C4F" w:rsidRPr="0008314D">
        <w:rPr>
          <w:rFonts w:ascii="Arabic Typesetting" w:hAnsi="Arabic Typesetting" w:cs="Arabic Typesetting"/>
          <w:sz w:val="32"/>
          <w:szCs w:val="32"/>
          <w:rtl/>
        </w:rPr>
        <w:t xml:space="preserve"> الترقيم؛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 xml:space="preserve"> استخدام 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>أدوات ربط وأنماط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>تنظيمية متنوعة ومناسبة لطبيعة النصوص؛ قراءة النصوص وفهم أفكارها الأساسية والفرعية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>،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 xml:space="preserve"> وفهم معانيها الضمنية، ثم 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>مناقشتها مع الآخرين وإ</w:t>
      </w:r>
      <w:r w:rsidR="006877E8" w:rsidRPr="0008314D">
        <w:rPr>
          <w:rFonts w:ascii="Arabic Typesetting" w:hAnsi="Arabic Typesetting" w:cs="Arabic Typesetting"/>
          <w:sz w:val="32"/>
          <w:szCs w:val="32"/>
          <w:rtl/>
        </w:rPr>
        <w:t>عادة إنتاجها</w:t>
      </w:r>
      <w:r w:rsidR="00932C4F" w:rsidRPr="0008314D">
        <w:rPr>
          <w:rFonts w:ascii="Arabic Typesetting" w:hAnsi="Arabic Typesetting" w:cs="Arabic Typesetting"/>
          <w:sz w:val="32"/>
          <w:szCs w:val="32"/>
          <w:rtl/>
        </w:rPr>
        <w:t xml:space="preserve"> كتابة أو بشكل شفوي؛</w:t>
      </w:r>
      <w:r w:rsidR="00DC3A6E" w:rsidRPr="0008314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5A1C1C" w:rsidRPr="0008314D">
        <w:rPr>
          <w:rFonts w:ascii="Arabic Typesetting" w:hAnsi="Arabic Typesetting" w:cs="Arabic Typesetting"/>
          <w:sz w:val="32"/>
          <w:szCs w:val="32"/>
          <w:rtl/>
        </w:rPr>
        <w:t xml:space="preserve">رفع حصيلة الطلبة اللغوية واستثمارها في عمليتي الإنتاج </w:t>
      </w:r>
      <w:r w:rsidR="00DC3A6E" w:rsidRPr="0008314D">
        <w:rPr>
          <w:rFonts w:ascii="Arabic Typesetting" w:hAnsi="Arabic Typesetting" w:cs="Arabic Typesetting"/>
          <w:sz w:val="32"/>
          <w:szCs w:val="32"/>
          <w:rtl/>
        </w:rPr>
        <w:t xml:space="preserve">والتلقي. </w:t>
      </w:r>
    </w:p>
    <w:p w14:paraId="7AC4903C" w14:textId="77777777" w:rsidR="00AE629E" w:rsidRPr="00FC186B" w:rsidRDefault="00AE629E" w:rsidP="00AE629E">
      <w:pPr>
        <w:bidi/>
        <w:rPr>
          <w:rFonts w:ascii="Arabic Typesetting" w:hAnsi="Arabic Typesetting" w:cs="Arabic Typesetting"/>
          <w:b/>
          <w:bCs/>
          <w:sz w:val="4"/>
          <w:szCs w:val="4"/>
          <w:rtl/>
        </w:rPr>
      </w:pPr>
    </w:p>
    <w:p w14:paraId="61DE41C9" w14:textId="77777777" w:rsidR="0008314D" w:rsidRPr="00FC186B" w:rsidRDefault="00F82266" w:rsidP="00480529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C186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ثالثا: </w:t>
      </w:r>
      <w:r w:rsidR="00480529"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مخرجات المساق</w:t>
      </w:r>
    </w:p>
    <w:p w14:paraId="268E9CC1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1- كتابة نصوص مركبة (فقرات ومقالات) حول موضوعات متنوعة. </w:t>
      </w:r>
    </w:p>
    <w:p w14:paraId="48205EB2" w14:textId="77777777" w:rsidR="0008314D" w:rsidRPr="0008314D" w:rsidRDefault="00314242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2"/>
          <w:szCs w:val="32"/>
          <w:rtl/>
        </w:rPr>
        <w:t xml:space="preserve">2- مناقشة الآخرين </w:t>
      </w:r>
      <w:r w:rsidR="0008314D" w:rsidRPr="0008314D">
        <w:rPr>
          <w:rFonts w:ascii="Arabic Typesetting" w:hAnsi="Arabic Typesetting" w:cs="Arabic Typesetting"/>
          <w:sz w:val="32"/>
          <w:szCs w:val="32"/>
          <w:rtl/>
        </w:rPr>
        <w:t>وعرض وجهة النظر بلغة جيدة.</w:t>
      </w:r>
    </w:p>
    <w:p w14:paraId="1CDDB08D" w14:textId="77777777" w:rsidR="0008314D" w:rsidRPr="0008314D" w:rsidRDefault="0008314D" w:rsidP="001038E3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3- فهم الأفكار الأساسية والفرعية والمعاني الضمنية لنص يتناول موضوعات في المستوى </w:t>
      </w:r>
      <w:r w:rsidR="001038E3">
        <w:rPr>
          <w:rFonts w:ascii="Arabic Typesetting" w:hAnsi="Arabic Typesetting" w:cs="Arabic Typesetting" w:hint="cs"/>
          <w:sz w:val="32"/>
          <w:szCs w:val="32"/>
          <w:rtl/>
        </w:rPr>
        <w:t>الملموس والمجرد</w:t>
      </w:r>
      <w:r w:rsidRPr="0008314D">
        <w:rPr>
          <w:rFonts w:ascii="Arabic Typesetting" w:hAnsi="Arabic Typesetting" w:cs="Arabic Typesetting"/>
          <w:sz w:val="32"/>
          <w:szCs w:val="32"/>
          <w:rtl/>
        </w:rPr>
        <w:t>.</w:t>
      </w:r>
    </w:p>
    <w:p w14:paraId="7FCADB8C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4- إعادة إنتاج نصوص </w:t>
      </w:r>
      <w:r w:rsidR="00D80AED">
        <w:rPr>
          <w:rFonts w:ascii="Arabic Typesetting" w:hAnsi="Arabic Typesetting" w:cs="Arabic Typesetting"/>
          <w:sz w:val="32"/>
          <w:szCs w:val="32"/>
          <w:rtl/>
        </w:rPr>
        <w:t>وعرضها بلغة خالية</w:t>
      </w:r>
      <w:r w:rsidR="001038E3">
        <w:rPr>
          <w:rFonts w:ascii="Arabic Typesetting" w:hAnsi="Arabic Typesetting" w:cs="Arabic Typesetting" w:hint="cs"/>
          <w:sz w:val="32"/>
          <w:szCs w:val="32"/>
          <w:rtl/>
        </w:rPr>
        <w:t xml:space="preserve"> تقريبا</w:t>
      </w:r>
      <w:r w:rsidR="00D80AED">
        <w:rPr>
          <w:rFonts w:ascii="Arabic Typesetting" w:hAnsi="Arabic Typesetting" w:cs="Arabic Typesetting"/>
          <w:sz w:val="32"/>
          <w:szCs w:val="32"/>
          <w:rtl/>
        </w:rPr>
        <w:t xml:space="preserve"> من الأخطاء</w:t>
      </w:r>
      <w:r w:rsidR="00314242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D80AED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14:paraId="24559142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5- ربط الجمل بأدوات ربط متعددة، واستخدام أنماط تنظيمية متنوعة ومناسبة لطبيعة النصوص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01B24D26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6- معرفة أعمق (بالمقارنة مع مس</w:t>
      </w:r>
      <w:r w:rsidR="001038E3">
        <w:rPr>
          <w:rFonts w:ascii="Arabic Typesetting" w:hAnsi="Arabic Typesetting" w:cs="Arabic Typesetting"/>
          <w:sz w:val="32"/>
          <w:szCs w:val="32"/>
          <w:rtl/>
        </w:rPr>
        <w:t>توى 135) بقواعد النحو، و</w:t>
      </w: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نقلها إلى فضاء تطبيقي مكتوب أو منطوق. </w:t>
      </w:r>
    </w:p>
    <w:p w14:paraId="304658D0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7- معرفة أعمق (بالمقارنة مع مستوى 135) بقواعد الرسم الإملائي</w:t>
      </w:r>
      <w:r w:rsidR="001038E3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15C9EB46" w14:textId="77777777" w:rsidR="0008314D" w:rsidRPr="0008314D" w:rsidRDefault="0008314D" w:rsidP="0008314D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8- معرفة أعمق بكيفية استخدام علامات الترقيم</w:t>
      </w:r>
      <w:r w:rsidR="001038E3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35CD0C7C" w14:textId="513560FD" w:rsidR="00A54E9E" w:rsidRPr="00782AC4" w:rsidRDefault="0008314D" w:rsidP="00782AC4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9- </w:t>
      </w:r>
      <w:r w:rsidR="00314242">
        <w:rPr>
          <w:rFonts w:ascii="Arabic Typesetting" w:hAnsi="Arabic Typesetting" w:cs="Arabic Typesetting" w:hint="cs"/>
          <w:sz w:val="32"/>
          <w:szCs w:val="32"/>
          <w:rtl/>
        </w:rPr>
        <w:t xml:space="preserve">معرفة لغوية تمكن </w:t>
      </w:r>
      <w:r w:rsidR="00935E1B">
        <w:rPr>
          <w:rFonts w:ascii="Arabic Typesetting" w:hAnsi="Arabic Typesetting" w:cs="Arabic Typesetting" w:hint="cs"/>
          <w:sz w:val="32"/>
          <w:szCs w:val="32"/>
          <w:rtl/>
        </w:rPr>
        <w:t xml:space="preserve">من </w:t>
      </w:r>
      <w:r w:rsidRPr="0008314D">
        <w:rPr>
          <w:rFonts w:ascii="Arabic Typesetting" w:hAnsi="Arabic Typesetting" w:cs="Arabic Typesetting"/>
          <w:sz w:val="32"/>
          <w:szCs w:val="32"/>
          <w:rtl/>
        </w:rPr>
        <w:t>استخدام المفردات</w:t>
      </w:r>
      <w:r w:rsidR="00935E1B">
        <w:rPr>
          <w:rFonts w:ascii="Arabic Typesetting" w:hAnsi="Arabic Typesetting" w:cs="Arabic Typesetting"/>
          <w:sz w:val="32"/>
          <w:szCs w:val="32"/>
          <w:rtl/>
        </w:rPr>
        <w:t xml:space="preserve"> والتعبيرات في موضوعات مختلفة</w:t>
      </w:r>
      <w:r w:rsidR="00935E1B">
        <w:rPr>
          <w:rFonts w:ascii="Arabic Typesetting" w:hAnsi="Arabic Typesetting" w:cs="Arabic Typesetting" w:hint="cs"/>
          <w:sz w:val="32"/>
          <w:szCs w:val="32"/>
          <w:rtl/>
        </w:rPr>
        <w:t xml:space="preserve"> مع </w:t>
      </w:r>
      <w:r w:rsidR="001038E3">
        <w:rPr>
          <w:rFonts w:ascii="Arabic Typesetting" w:hAnsi="Arabic Typesetting" w:cs="Arabic Typesetting" w:hint="cs"/>
          <w:sz w:val="32"/>
          <w:szCs w:val="32"/>
          <w:rtl/>
        </w:rPr>
        <w:t>أ</w:t>
      </w:r>
      <w:r w:rsidR="009D6D16">
        <w:rPr>
          <w:rFonts w:ascii="Arabic Typesetting" w:hAnsi="Arabic Typesetting" w:cs="Arabic Typesetting"/>
          <w:sz w:val="32"/>
          <w:szCs w:val="32"/>
          <w:rtl/>
        </w:rPr>
        <w:t xml:space="preserve">خطاء بسيطة.  </w:t>
      </w:r>
    </w:p>
    <w:p w14:paraId="693CEC80" w14:textId="756B70A3" w:rsidR="00CB36F1" w:rsidRPr="00FC186B" w:rsidRDefault="007A29FD" w:rsidP="00A54E9E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راب</w:t>
      </w:r>
      <w:r w:rsidR="006B1A4E"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عا: </w:t>
      </w:r>
      <w:r w:rsidR="00480529"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المخرجات موزعة على الحقول المعرفية</w:t>
      </w:r>
    </w:p>
    <w:p w14:paraId="6149D220" w14:textId="77777777" w:rsidR="00BE6A09" w:rsidRPr="00BE6A09" w:rsidRDefault="00BE6A09" w:rsidP="00BE6A09">
      <w:pPr>
        <w:bidi/>
        <w:rPr>
          <w:rFonts w:ascii="Arabic Typesetting" w:hAnsi="Arabic Typesetting" w:cs="Arabic Typesetting"/>
          <w:b/>
          <w:bCs/>
          <w:sz w:val="18"/>
          <w:szCs w:val="18"/>
          <w:rtl/>
        </w:rPr>
      </w:pPr>
    </w:p>
    <w:p w14:paraId="680EF77B" w14:textId="77777777" w:rsidR="00932C4F" w:rsidRPr="00FC186B" w:rsidRDefault="00932C4F" w:rsidP="009B1916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C186B">
        <w:rPr>
          <w:rFonts w:ascii="Arabic Typesetting" w:hAnsi="Arabic Typesetting" w:cs="Arabic Typesetting"/>
          <w:b/>
          <w:bCs/>
          <w:sz w:val="36"/>
          <w:szCs w:val="36"/>
          <w:rtl/>
        </w:rPr>
        <w:t>مهارات المعرفة والفهم</w:t>
      </w:r>
    </w:p>
    <w:p w14:paraId="21390C11" w14:textId="77777777" w:rsidR="00935E1B" w:rsidRDefault="007A29FD" w:rsidP="0086468D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ب</w:t>
      </w:r>
      <w:r w:rsidR="00932C4F" w:rsidRPr="0008314D">
        <w:rPr>
          <w:rFonts w:ascii="Arabic Typesetting" w:hAnsi="Arabic Typesetting" w:cs="Arabic Typesetting"/>
          <w:sz w:val="32"/>
          <w:szCs w:val="32"/>
          <w:rtl/>
        </w:rPr>
        <w:t>-</w:t>
      </w:r>
      <w:r w:rsidR="00EF6F14" w:rsidRPr="0008314D">
        <w:rPr>
          <w:rFonts w:ascii="Arabic Typesetting" w:hAnsi="Arabic Typesetting" w:cs="Arabic Typesetting"/>
          <w:sz w:val="32"/>
          <w:szCs w:val="32"/>
          <w:rtl/>
        </w:rPr>
        <w:t xml:space="preserve"> فهم بنية الفقرة 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>وأ</w:t>
      </w:r>
      <w:r w:rsidR="00935E1B">
        <w:rPr>
          <w:rFonts w:ascii="Arabic Typesetting" w:hAnsi="Arabic Typesetting" w:cs="Arabic Typesetting" w:hint="cs"/>
          <w:sz w:val="32"/>
          <w:szCs w:val="32"/>
          <w:rtl/>
        </w:rPr>
        <w:t>نواعها</w:t>
      </w:r>
      <w:r w:rsidR="00E6562F">
        <w:rPr>
          <w:rFonts w:ascii="Arabic Typesetting" w:hAnsi="Arabic Typesetting" w:cs="Arabic Typesetting" w:hint="cs"/>
          <w:sz w:val="32"/>
          <w:szCs w:val="32"/>
          <w:rtl/>
        </w:rPr>
        <w:t>.</w:t>
      </w:r>
      <w:r w:rsidR="00935E1B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14:paraId="2490AE9C" w14:textId="77777777" w:rsidR="0086468D" w:rsidRPr="0008314D" w:rsidRDefault="00935E1B" w:rsidP="00935E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2- فهم بنية </w:t>
      </w:r>
      <w:r>
        <w:rPr>
          <w:rFonts w:ascii="Arabic Typesetting" w:hAnsi="Arabic Typesetting" w:cs="Arabic Typesetting"/>
          <w:sz w:val="32"/>
          <w:szCs w:val="32"/>
          <w:rtl/>
        </w:rPr>
        <w:t>المقالة وأنواعه</w:t>
      </w:r>
      <w:r>
        <w:rPr>
          <w:rFonts w:ascii="Arabic Typesetting" w:hAnsi="Arabic Typesetting" w:cs="Arabic Typesetting" w:hint="cs"/>
          <w:sz w:val="32"/>
          <w:szCs w:val="32"/>
          <w:rtl/>
        </w:rPr>
        <w:t>ا</w:t>
      </w:r>
      <w:r w:rsidR="0086468D" w:rsidRPr="0008314D">
        <w:rPr>
          <w:rFonts w:ascii="Arabic Typesetting" w:hAnsi="Arabic Typesetting" w:cs="Arabic Typesetting"/>
          <w:sz w:val="32"/>
          <w:szCs w:val="32"/>
          <w:rtl/>
        </w:rPr>
        <w:t>.</w:t>
      </w:r>
    </w:p>
    <w:p w14:paraId="5D87669E" w14:textId="77777777" w:rsidR="00EF6BB4" w:rsidRPr="0008314D" w:rsidRDefault="00935E1B" w:rsidP="0086468D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3</w:t>
      </w:r>
      <w:r w:rsidR="0086468D" w:rsidRPr="0008314D">
        <w:rPr>
          <w:rFonts w:ascii="Arabic Typesetting" w:hAnsi="Arabic Typesetting" w:cs="Arabic Typesetting"/>
          <w:sz w:val="32"/>
          <w:szCs w:val="32"/>
          <w:rtl/>
        </w:rPr>
        <w:t>- تصنيف الفقرات والمقالات بحسب أنواعها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.</w:t>
      </w:r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14:paraId="2E78B456" w14:textId="77777777" w:rsidR="0086468D" w:rsidRPr="0008314D" w:rsidRDefault="00935E1B" w:rsidP="00EF6BB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4</w:t>
      </w:r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 xml:space="preserve">- فهم بنية </w:t>
      </w:r>
      <w:proofErr w:type="gramStart"/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>الرسالة  وشروطها</w:t>
      </w:r>
      <w:proofErr w:type="gramEnd"/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 xml:space="preserve"> التنظيمية.</w:t>
      </w:r>
    </w:p>
    <w:p w14:paraId="67AB0129" w14:textId="77777777" w:rsidR="00EF586B" w:rsidRPr="0008314D" w:rsidRDefault="00935E1B" w:rsidP="00EF586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5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- تعيين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وفهم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 xml:space="preserve"> أدوات الربط والأنماط التنظيمية في الفقرات </w:t>
      </w:r>
      <w:proofErr w:type="gramStart"/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 xml:space="preserve">والمقالات </w:t>
      </w:r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 xml:space="preserve"> والرسائل</w:t>
      </w:r>
      <w:proofErr w:type="gramEnd"/>
      <w:r w:rsidR="00EF6BB4" w:rsidRPr="0008314D">
        <w:rPr>
          <w:rFonts w:ascii="Arabic Typesetting" w:hAnsi="Arabic Typesetting" w:cs="Arabic Typesetting"/>
          <w:sz w:val="32"/>
          <w:szCs w:val="32"/>
          <w:rtl/>
        </w:rPr>
        <w:t xml:space="preserve">. </w:t>
      </w:r>
    </w:p>
    <w:p w14:paraId="26586B65" w14:textId="77777777" w:rsidR="00EF586B" w:rsidRPr="0008314D" w:rsidRDefault="00935E1B" w:rsidP="0086468D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6</w:t>
      </w:r>
      <w:r w:rsidR="0086468D" w:rsidRPr="0008314D">
        <w:rPr>
          <w:rFonts w:ascii="Arabic Typesetting" w:hAnsi="Arabic Typesetting" w:cs="Arabic Typesetting"/>
          <w:sz w:val="32"/>
          <w:szCs w:val="32"/>
          <w:rtl/>
        </w:rPr>
        <w:t>-</w:t>
      </w:r>
      <w:r w:rsidR="00EF6F14" w:rsidRPr="0008314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F9346A" w:rsidRPr="0008314D">
        <w:rPr>
          <w:rFonts w:ascii="Arabic Typesetting" w:hAnsi="Arabic Typesetting" w:cs="Arabic Typesetting"/>
          <w:sz w:val="32"/>
          <w:szCs w:val="32"/>
          <w:rtl/>
        </w:rPr>
        <w:t>توضيح الأفكار الأساسية والمعاني الضمنية للنصوص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.</w:t>
      </w:r>
    </w:p>
    <w:p w14:paraId="291CD1F1" w14:textId="77777777" w:rsidR="00CB36F1" w:rsidRDefault="00935E1B" w:rsidP="00F02D21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7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- س</w:t>
      </w:r>
      <w:r>
        <w:rPr>
          <w:rFonts w:ascii="Arabic Typesetting" w:hAnsi="Arabic Typesetting" w:cs="Arabic Typesetting" w:hint="cs"/>
          <w:sz w:val="32"/>
          <w:szCs w:val="32"/>
          <w:rtl/>
        </w:rPr>
        <w:t>َ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لس</w:t>
      </w:r>
      <w:r>
        <w:rPr>
          <w:rFonts w:ascii="Arabic Typesetting" w:hAnsi="Arabic Typesetting" w:cs="Arabic Typesetting" w:hint="cs"/>
          <w:sz w:val="32"/>
          <w:szCs w:val="32"/>
          <w:rtl/>
        </w:rPr>
        <w:t>َ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>لة الأفكار الواردة في النصوص وتلخيصها</w:t>
      </w:r>
      <w:r w:rsidR="0086468D" w:rsidRPr="0008314D">
        <w:rPr>
          <w:rFonts w:ascii="Arabic Typesetting" w:hAnsi="Arabic Typesetting" w:cs="Arabic Typesetting"/>
          <w:sz w:val="32"/>
          <w:szCs w:val="32"/>
          <w:rtl/>
        </w:rPr>
        <w:t xml:space="preserve"> شفويا وكتابيا</w:t>
      </w:r>
      <w:r w:rsidR="00EF586B" w:rsidRPr="0008314D">
        <w:rPr>
          <w:rFonts w:ascii="Arabic Typesetting" w:hAnsi="Arabic Typesetting" w:cs="Arabic Typesetting"/>
          <w:sz w:val="32"/>
          <w:szCs w:val="32"/>
          <w:rtl/>
        </w:rPr>
        <w:t xml:space="preserve"> بلغة سليمة. </w:t>
      </w:r>
    </w:p>
    <w:p w14:paraId="51AED2A2" w14:textId="77777777" w:rsidR="009D6D16" w:rsidRDefault="009D6D16" w:rsidP="00AB772E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8- إنتاج </w:t>
      </w:r>
      <w:r w:rsidR="00AB772E">
        <w:rPr>
          <w:rFonts w:ascii="Arabic Typesetting" w:hAnsi="Arabic Typesetting" w:cs="Arabic Typesetting" w:hint="cs"/>
          <w:sz w:val="32"/>
          <w:szCs w:val="32"/>
          <w:rtl/>
        </w:rPr>
        <w:t>عرض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كتاب</w:t>
      </w:r>
      <w:r w:rsidR="00B86EDB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3AD360A7" w14:textId="77777777" w:rsidR="00662633" w:rsidRPr="009D6D16" w:rsidRDefault="00662633" w:rsidP="00F02D21">
      <w:pPr>
        <w:bidi/>
        <w:rPr>
          <w:rFonts w:ascii="Arabic Typesetting" w:hAnsi="Arabic Typesetting" w:cs="Arabic Typesetting"/>
          <w:b/>
          <w:bCs/>
          <w:sz w:val="6"/>
          <w:szCs w:val="6"/>
          <w:rtl/>
        </w:rPr>
      </w:pPr>
    </w:p>
    <w:p w14:paraId="5A2FAB4D" w14:textId="77777777" w:rsidR="00F02D21" w:rsidRPr="00FC186B" w:rsidRDefault="00F02D21" w:rsidP="00662633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مهارات وظيفية</w:t>
      </w:r>
    </w:p>
    <w:p w14:paraId="71CB917F" w14:textId="77777777" w:rsidR="00F02D21" w:rsidRDefault="008B5FF2" w:rsidP="00F02D21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1- 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 xml:space="preserve">توظيف المعارف المكتسبة في </w:t>
      </w:r>
      <w:r>
        <w:rPr>
          <w:rFonts w:ascii="Arabic Typesetting" w:hAnsi="Arabic Typesetting" w:cs="Arabic Typesetting" w:hint="cs"/>
          <w:sz w:val="32"/>
          <w:szCs w:val="32"/>
          <w:rtl/>
        </w:rPr>
        <w:t>كتابة الفقرة بأنواعها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29999DE3" w14:textId="77777777" w:rsidR="00F02D21" w:rsidRDefault="00F02D21" w:rsidP="00F02D21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2-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 xml:space="preserve">توظيف المعارف المكتسبة في 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>كتابة المقالة بأنواعها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054AE4E9" w14:textId="77777777" w:rsidR="00F02D21" w:rsidRDefault="00F02D21" w:rsidP="00F02D21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3-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 xml:space="preserve">توظيف المعارف المكتسبة في 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>كتابة الرسالة الرسمية (طلب التوظيف أو رسالة التغطية)</w:t>
      </w:r>
      <w:r w:rsidR="009D6D16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253C7126" w14:textId="77777777" w:rsidR="009D6D16" w:rsidRDefault="009D6D16" w:rsidP="009D6D1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4- توظيف المعارف المكتسبة في كتابة مراجعة كتاب.</w:t>
      </w:r>
    </w:p>
    <w:p w14:paraId="1ACD829E" w14:textId="77777777" w:rsidR="00F02D21" w:rsidRDefault="009D6D16" w:rsidP="008B5FF2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5</w:t>
      </w:r>
      <w:r w:rsidR="00F02D21">
        <w:rPr>
          <w:rFonts w:ascii="Arabic Typesetting" w:hAnsi="Arabic Typesetting" w:cs="Arabic Typesetting" w:hint="cs"/>
          <w:sz w:val="32"/>
          <w:szCs w:val="32"/>
          <w:rtl/>
        </w:rPr>
        <w:t>-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 xml:space="preserve"> استخدام أدوات الربط والأنماط التنظيمية المناسبة في الكتابة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5918A9A2" w14:textId="77777777" w:rsidR="00671BE9" w:rsidRDefault="009D6D16" w:rsidP="00671BE9">
      <w:pPr>
        <w:bidi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6</w:t>
      </w:r>
      <w:r w:rsidR="00671BE9">
        <w:rPr>
          <w:rFonts w:ascii="Arabic Typesetting" w:hAnsi="Arabic Typesetting" w:cs="Arabic Typesetting" w:hint="cs"/>
          <w:sz w:val="32"/>
          <w:szCs w:val="32"/>
          <w:rtl/>
        </w:rPr>
        <w:t>- قراءة النصوص</w:t>
      </w:r>
      <w:r w:rsidR="00B94F58">
        <w:rPr>
          <w:rFonts w:ascii="Arabic Typesetting" w:hAnsi="Arabic Typesetting" w:cs="Arabic Typesetting" w:hint="cs"/>
          <w:sz w:val="32"/>
          <w:szCs w:val="32"/>
          <w:rtl/>
        </w:rPr>
        <w:t xml:space="preserve"> قراءة مدققة لاستخراج الأفكار الأساسية والضمنية.</w:t>
      </w:r>
      <w:r w:rsidR="00671BE9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</w:p>
    <w:p w14:paraId="22309B92" w14:textId="77777777" w:rsidR="00662633" w:rsidRPr="009D6D16" w:rsidRDefault="00662633" w:rsidP="00F02D21">
      <w:pPr>
        <w:bidi/>
        <w:rPr>
          <w:rFonts w:ascii="Arabic Typesetting" w:hAnsi="Arabic Typesetting" w:cs="Arabic Typesetting"/>
          <w:b/>
          <w:bCs/>
          <w:sz w:val="14"/>
          <w:szCs w:val="14"/>
          <w:rtl/>
        </w:rPr>
      </w:pPr>
    </w:p>
    <w:p w14:paraId="3DCD0336" w14:textId="77777777" w:rsidR="008B5FF2" w:rsidRPr="00FC186B" w:rsidRDefault="00F02D21" w:rsidP="008B5FF2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مهارات تواصلية</w:t>
      </w:r>
      <w:r w:rsidR="008B5FF2" w:rsidRPr="00FC186B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14:paraId="7D00F9EB" w14:textId="77777777" w:rsidR="008B5FF2" w:rsidRDefault="008B5FF2" w:rsidP="008B5FF2">
      <w:pPr>
        <w:bidi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 xml:space="preserve">1- </w:t>
      </w:r>
      <w:r w:rsidRPr="009B1916">
        <w:rPr>
          <w:rFonts w:ascii="Arabic Typesetting" w:hAnsi="Arabic Typesetting" w:cs="Arabic Typesetting"/>
          <w:sz w:val="32"/>
          <w:szCs w:val="32"/>
          <w:rtl/>
          <w:lang w:bidi="ar-JO"/>
        </w:rPr>
        <w:t>الاتصال</w:t>
      </w:r>
      <w:r w:rsidR="00D70422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 الشفوي والكتابي</w:t>
      </w:r>
      <w:r w:rsidRPr="009B1916"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الفعّال</w:t>
      </w:r>
      <w:r w:rsidR="00D70422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 </w:t>
      </w:r>
      <w:r w:rsidRPr="009B1916">
        <w:rPr>
          <w:rFonts w:ascii="Arabic Typesetting" w:hAnsi="Arabic Typesetting" w:cs="Arabic Typesetting"/>
          <w:sz w:val="32"/>
          <w:szCs w:val="32"/>
          <w:rtl/>
          <w:lang w:bidi="ar-JO"/>
        </w:rPr>
        <w:t>(الإحاطة، والإيجاز، وخصوصيات المتلقي، والترابط، والوضوح</w:t>
      </w:r>
      <w:r w:rsidR="00D70422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،</w:t>
      </w:r>
      <w:r w:rsidRPr="009B1916">
        <w:rPr>
          <w:rFonts w:ascii="Arabic Typesetting" w:hAnsi="Arabic Typesetting" w:cs="Arabic Typesetting"/>
          <w:sz w:val="32"/>
          <w:szCs w:val="32"/>
          <w:rtl/>
          <w:lang w:bidi="ar-JO"/>
        </w:rPr>
        <w:t xml:space="preserve"> والدقة......).</w:t>
      </w:r>
    </w:p>
    <w:p w14:paraId="29809B44" w14:textId="77777777" w:rsidR="008B5FF2" w:rsidRDefault="008B5FF2" w:rsidP="008B5FF2">
      <w:pPr>
        <w:bidi/>
        <w:rPr>
          <w:rFonts w:ascii="Arabic Typesetting" w:hAnsi="Arabic Typesetting" w:cs="Arabic Typesetting"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2- توضيح ا</w:t>
      </w:r>
      <w:r w:rsidR="00314242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لأفكار الأساسية والضمنية الواردة</w:t>
      </w:r>
      <w:r>
        <w:rPr>
          <w:rFonts w:ascii="Arabic Typesetting" w:hAnsi="Arabic Typesetting" w:cs="Arabic Typesetting" w:hint="cs"/>
          <w:sz w:val="32"/>
          <w:szCs w:val="32"/>
          <w:rtl/>
          <w:lang w:bidi="ar-JO"/>
        </w:rPr>
        <w:t xml:space="preserve"> في النصوص</w:t>
      </w:r>
      <w:r w:rsidR="00B94F58">
        <w:rPr>
          <w:rFonts w:ascii="Arabic Typesetting" w:hAnsi="Arabic Typesetting" w:cs="Arabic Typesetting" w:hint="cs"/>
          <w:sz w:val="32"/>
          <w:szCs w:val="32"/>
          <w:rtl/>
          <w:lang w:bidi="ar-JO"/>
        </w:rPr>
        <w:t>.</w:t>
      </w:r>
    </w:p>
    <w:p w14:paraId="45D152F3" w14:textId="77777777" w:rsidR="00BE6A09" w:rsidRPr="009D6D16" w:rsidRDefault="00B94F58" w:rsidP="009D6D16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3</w:t>
      </w:r>
      <w:r w:rsidR="008B5FF2">
        <w:rPr>
          <w:rFonts w:ascii="Arabic Typesetting" w:hAnsi="Arabic Typesetting" w:cs="Arabic Typesetting" w:hint="cs"/>
          <w:sz w:val="32"/>
          <w:szCs w:val="32"/>
          <w:rtl/>
        </w:rPr>
        <w:t>- الانخراط في النقاشات وعرض وجهات النظر والتعامل مع وجهة النظر المقابلة.</w:t>
      </w:r>
    </w:p>
    <w:p w14:paraId="0A68068D" w14:textId="77777777" w:rsidR="0008314D" w:rsidRPr="00FC186B" w:rsidRDefault="006B1A4E" w:rsidP="00BE6A09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C186B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>خامسا</w:t>
      </w:r>
      <w:r w:rsidR="00F82266" w:rsidRPr="00FC186B">
        <w:rPr>
          <w:rFonts w:ascii="Arabic Typesetting" w:hAnsi="Arabic Typesetting" w:cs="Arabic Typesetting"/>
          <w:b/>
          <w:bCs/>
          <w:sz w:val="40"/>
          <w:szCs w:val="40"/>
          <w:rtl/>
        </w:rPr>
        <w:t>: استراتيجيات التعليم والتعلم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1C90" w14:paraId="6F13217E" w14:textId="77777777" w:rsidTr="00182A28">
        <w:tc>
          <w:tcPr>
            <w:tcW w:w="4675" w:type="dxa"/>
            <w:shd w:val="clear" w:color="auto" w:fill="D9E2F3" w:themeFill="accent5" w:themeFillTint="33"/>
          </w:tcPr>
          <w:p w14:paraId="53D013A2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التعليم:</w:t>
            </w:r>
          </w:p>
          <w:p w14:paraId="708E0178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1- المحاضرة.</w:t>
            </w:r>
          </w:p>
          <w:p w14:paraId="12DB4DB6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2- العروض الشفوية</w:t>
            </w:r>
            <w:r w:rsidR="00B86ED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</w:t>
            </w:r>
          </w:p>
          <w:p w14:paraId="0240EF00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3- عمل المجموعات والتغذية الراجعة من المعلم.</w:t>
            </w:r>
          </w:p>
          <w:p w14:paraId="101D891A" w14:textId="77777777" w:rsidR="00BE1C90" w:rsidRPr="00FC186B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4- استخدام الوسائط المتعددة (الشرائح، والمصادر المرئية والمسموعة).</w:t>
            </w:r>
          </w:p>
          <w:p w14:paraId="58216378" w14:textId="77777777" w:rsidR="00BE1C90" w:rsidRDefault="00BE1C90" w:rsidP="0008314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5" w:type="dxa"/>
            <w:shd w:val="clear" w:color="auto" w:fill="D9E2F3" w:themeFill="accent5" w:themeFillTint="33"/>
          </w:tcPr>
          <w:p w14:paraId="13F1C5D8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  <w:t>التعلّم</w:t>
            </w: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:</w:t>
            </w:r>
          </w:p>
          <w:p w14:paraId="3D3F9B61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1- عمل المجموعات وتغذية الأقران الراجعة.</w:t>
            </w:r>
          </w:p>
          <w:p w14:paraId="4C389CA6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2- ملف الطالب التراكمي الخاص بمهارة الكتابة (</w:t>
            </w:r>
            <w:proofErr w:type="spellStart"/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البورتفوليو</w:t>
            </w:r>
            <w:proofErr w:type="spellEnd"/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"مكون صفي وبيتي").</w:t>
            </w:r>
          </w:p>
          <w:p w14:paraId="32DE5FED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3- الانخ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راط في المناظرة والتحضير المسبق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لها. </w:t>
            </w:r>
          </w:p>
          <w:p w14:paraId="1812D5DA" w14:textId="77777777" w:rsidR="00BE1C90" w:rsidRPr="0008314D" w:rsidRDefault="00BE1C90" w:rsidP="00BE1C90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08314D">
              <w:rPr>
                <w:rFonts w:ascii="Arabic Typesetting" w:hAnsi="Arabic Typesetting" w:cs="Arabic Typesetting"/>
                <w:sz w:val="32"/>
                <w:szCs w:val="32"/>
                <w:rtl/>
              </w:rPr>
              <w:t>4- مراجعة المواقع والتلخيص.</w:t>
            </w:r>
          </w:p>
          <w:p w14:paraId="25A2BC00" w14:textId="77777777" w:rsidR="00BE1C90" w:rsidRDefault="00BE1C90" w:rsidP="0008314D">
            <w:pPr>
              <w:bidi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</w:tr>
    </w:tbl>
    <w:p w14:paraId="4BF8C247" w14:textId="77777777" w:rsidR="00EF6BB4" w:rsidRPr="00BE6A09" w:rsidRDefault="00EF6BB4" w:rsidP="009E0D4E">
      <w:pPr>
        <w:bidi/>
        <w:rPr>
          <w:rFonts w:ascii="Arabic Typesetting" w:hAnsi="Arabic Typesetting" w:cs="Arabic Typesetting"/>
          <w:b/>
          <w:bCs/>
          <w:sz w:val="12"/>
          <w:szCs w:val="12"/>
          <w:rtl/>
        </w:rPr>
      </w:pPr>
    </w:p>
    <w:p w14:paraId="21420007" w14:textId="77777777" w:rsidR="00C270F7" w:rsidRPr="00C270F7" w:rsidRDefault="00C270F7" w:rsidP="00EF6BB4">
      <w:pPr>
        <w:bidi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7C07C509" w14:textId="77777777" w:rsidR="006D4BA4" w:rsidRPr="00E2648C" w:rsidRDefault="006B1A4E" w:rsidP="00C270F7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E2648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سادسا</w:t>
      </w:r>
      <w:r w:rsidR="00F82266" w:rsidRPr="00E2648C">
        <w:rPr>
          <w:rFonts w:ascii="Arabic Typesetting" w:hAnsi="Arabic Typesetting" w:cs="Arabic Typesetting"/>
          <w:b/>
          <w:bCs/>
          <w:sz w:val="36"/>
          <w:szCs w:val="36"/>
          <w:rtl/>
        </w:rPr>
        <w:t>: توزيع المادة على الفصل</w:t>
      </w: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1735"/>
        <w:gridCol w:w="2610"/>
        <w:gridCol w:w="5123"/>
      </w:tblGrid>
      <w:tr w:rsidR="006D4BA4" w:rsidRPr="00AB772E" w14:paraId="2668DD65" w14:textId="77777777" w:rsidTr="00D14BB5">
        <w:tc>
          <w:tcPr>
            <w:tcW w:w="1735" w:type="dxa"/>
            <w:shd w:val="clear" w:color="auto" w:fill="5B9BD5" w:themeFill="accent1"/>
          </w:tcPr>
          <w:p w14:paraId="511EE8D3" w14:textId="77777777" w:rsidR="006D4BA4" w:rsidRPr="00AB772E" w:rsidRDefault="006D4BA4" w:rsidP="00671BE9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2610" w:type="dxa"/>
            <w:shd w:val="clear" w:color="auto" w:fill="5B9BD5" w:themeFill="accent1"/>
          </w:tcPr>
          <w:p w14:paraId="29D6B88D" w14:textId="77777777" w:rsidR="006D4BA4" w:rsidRPr="00AB772E" w:rsidRDefault="006D4BA4" w:rsidP="00671BE9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5123" w:type="dxa"/>
            <w:shd w:val="clear" w:color="auto" w:fill="5B9BD5" w:themeFill="accent1"/>
          </w:tcPr>
          <w:p w14:paraId="2D72C128" w14:textId="77777777" w:rsidR="006D4BA4" w:rsidRPr="00AB772E" w:rsidRDefault="006D4BA4" w:rsidP="00671BE9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التفاصيل</w:t>
            </w:r>
          </w:p>
        </w:tc>
      </w:tr>
      <w:tr w:rsidR="006D4BA4" w:rsidRPr="00AB772E" w14:paraId="7FFCFDDD" w14:textId="77777777" w:rsidTr="00D14BB5">
        <w:tc>
          <w:tcPr>
            <w:tcW w:w="1735" w:type="dxa"/>
            <w:shd w:val="clear" w:color="auto" w:fill="DEEAF6" w:themeFill="accent1" w:themeFillTint="33"/>
          </w:tcPr>
          <w:p w14:paraId="20023892" w14:textId="77777777" w:rsidR="006D4BA4" w:rsidRPr="00AB772E" w:rsidRDefault="006D4BA4" w:rsidP="0034700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1040FA74" w14:textId="71406AD0" w:rsidR="006D4BA4" w:rsidRPr="00AB772E" w:rsidRDefault="006D4BA4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الأول</w:t>
            </w:r>
            <w:r w:rsidR="003A6295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والثاني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27D4FD92" w14:textId="77777777" w:rsidR="006D4BA4" w:rsidRPr="00AB772E" w:rsidRDefault="006D4BA4" w:rsidP="0034700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3110A42E" w14:textId="77777777" w:rsidR="006D4BA4" w:rsidRPr="00AB772E" w:rsidRDefault="00465486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الكتابة: إطار نظري</w:t>
            </w:r>
          </w:p>
        </w:tc>
        <w:tc>
          <w:tcPr>
            <w:tcW w:w="5123" w:type="dxa"/>
            <w:shd w:val="clear" w:color="auto" w:fill="DEEAF6" w:themeFill="accent1" w:themeFillTint="33"/>
          </w:tcPr>
          <w:p w14:paraId="66773FE4" w14:textId="397C4508" w:rsidR="006D4BA4" w:rsidRPr="00AB772E" w:rsidRDefault="00487D3B" w:rsidP="00465486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</w:t>
            </w:r>
            <w:r w:rsidR="00465486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أهمية الكتابة</w:t>
            </w:r>
            <w:r w:rsidR="00C270F7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،</w:t>
            </w:r>
            <w:r w:rsidR="00465486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والعلامات الفارقة للكتابة</w:t>
            </w:r>
            <w:r w:rsidR="00E027C9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الوظيفية</w:t>
            </w:r>
            <w:r w:rsidR="00465486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الجيدة.  </w:t>
            </w:r>
          </w:p>
          <w:p w14:paraId="07DAFD1A" w14:textId="77777777" w:rsidR="003148B1" w:rsidRPr="00AB772E" w:rsidRDefault="006D4BA4" w:rsidP="005332CF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.</w:t>
            </w:r>
            <w:r w:rsidR="004F7469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لماذا نكتب؟ ماذا نكتب؟ لمن نكتب؟ كيف نكتب؟</w:t>
            </w:r>
          </w:p>
          <w:p w14:paraId="772C77CD" w14:textId="77777777" w:rsidR="00AB772E" w:rsidRPr="00AB772E" w:rsidRDefault="00AB772E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أنشطة الكتاب القبلية والبعدية</w:t>
            </w:r>
          </w:p>
        </w:tc>
      </w:tr>
      <w:tr w:rsidR="006D4BA4" w:rsidRPr="00AB772E" w14:paraId="7F5C21EE" w14:textId="77777777" w:rsidTr="00D14BB5">
        <w:tc>
          <w:tcPr>
            <w:tcW w:w="1735" w:type="dxa"/>
            <w:shd w:val="clear" w:color="auto" w:fill="BDD6EE" w:themeFill="accent1" w:themeFillTint="66"/>
          </w:tcPr>
          <w:p w14:paraId="27A3F402" w14:textId="77777777" w:rsidR="006B1A4E" w:rsidRPr="00AB772E" w:rsidRDefault="006B1A4E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57D4B9C8" w14:textId="77777777" w:rsidR="00712201" w:rsidRPr="00AB772E" w:rsidRDefault="00712201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16E80B52" w14:textId="0516692C" w:rsidR="006D4BA4" w:rsidRPr="00AB772E" w:rsidRDefault="00A54E9E" w:rsidP="007122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الثالث والرابع</w:t>
            </w:r>
            <w:r w:rsidR="003A6295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</w:t>
            </w:r>
            <w:r w:rsidR="00E027C9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والخامس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5F06FE36" w14:textId="77777777" w:rsidR="00487D3B" w:rsidRPr="00AB772E" w:rsidRDefault="00487D3B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2A534B04" w14:textId="77777777" w:rsidR="00487D3B" w:rsidRPr="00AB772E" w:rsidRDefault="00487D3B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5871936C" w14:textId="77777777" w:rsidR="006D4BA4" w:rsidRPr="00AB772E" w:rsidRDefault="00487D3B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الفقرة: مبنى وأنواع</w:t>
            </w:r>
          </w:p>
          <w:p w14:paraId="18316E34" w14:textId="77777777" w:rsidR="00B23FA7" w:rsidRPr="00AB772E" w:rsidRDefault="00B23FA7" w:rsidP="00B23FA7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</w:tc>
        <w:tc>
          <w:tcPr>
            <w:tcW w:w="5123" w:type="dxa"/>
            <w:shd w:val="clear" w:color="auto" w:fill="BDD6EE" w:themeFill="accent1" w:themeFillTint="66"/>
          </w:tcPr>
          <w:p w14:paraId="3B5D7DCF" w14:textId="77777777" w:rsidR="006D4BA4" w:rsidRPr="00AB772E" w:rsidRDefault="002D7118" w:rsidP="00B23FA7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مبنى الفقرة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: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الجملة الضابطة أو المفتاحية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،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الجمل الداعمة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،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الجملة الختامية.</w:t>
            </w:r>
          </w:p>
          <w:p w14:paraId="0CB03B87" w14:textId="77777777" w:rsidR="00BE6A09" w:rsidRPr="00AB772E" w:rsidRDefault="002D7118" w:rsidP="006D4BA4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أنواع الفقرات</w:t>
            </w:r>
            <w:r w:rsidR="00487D3B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،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 ومفردات و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عبارات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 وأنماط تنظيمية مختصة بالنوع</w:t>
            </w:r>
            <w:r w:rsidR="00B86EDB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5FE86EE7" w14:textId="77777777" w:rsidR="003379F7" w:rsidRPr="00AB772E" w:rsidRDefault="00314242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. </w:t>
            </w:r>
            <w:r w:rsidR="00C270F7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فقرات نموذجية للقراءة والتحليل</w:t>
            </w:r>
          </w:p>
          <w:p w14:paraId="72F36AFB" w14:textId="77777777" w:rsidR="00AB772E" w:rsidRPr="00AB772E" w:rsidRDefault="00AB772E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أنشطة الكتاب القبلية والبعدية</w:t>
            </w:r>
          </w:p>
        </w:tc>
      </w:tr>
      <w:tr w:rsidR="006D4BA4" w:rsidRPr="00AB772E" w14:paraId="1E1596DA" w14:textId="77777777" w:rsidTr="00D14BB5">
        <w:tc>
          <w:tcPr>
            <w:tcW w:w="1735" w:type="dxa"/>
            <w:shd w:val="clear" w:color="auto" w:fill="DEEAF6" w:themeFill="accent1" w:themeFillTint="33"/>
          </w:tcPr>
          <w:p w14:paraId="0C8EA651" w14:textId="77777777" w:rsidR="006D4BA4" w:rsidRPr="00AB772E" w:rsidRDefault="006D4BA4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578F38D5" w14:textId="77777777" w:rsidR="006D4BA4" w:rsidRPr="00AB772E" w:rsidRDefault="006D4BA4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2C842131" w14:textId="77777777" w:rsidR="00712201" w:rsidRPr="00AB772E" w:rsidRDefault="00712201" w:rsidP="009D6D16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63FA1829" w14:textId="4EEDF41F" w:rsidR="006D4BA4" w:rsidRPr="00AB772E" w:rsidRDefault="00E027C9" w:rsidP="007122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السادس والسابع والثامن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C7DC20D" w14:textId="77777777" w:rsidR="006D4BA4" w:rsidRPr="00AB772E" w:rsidRDefault="006D4BA4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4F8A2871" w14:textId="77777777" w:rsidR="006D4BA4" w:rsidRPr="00AB772E" w:rsidRDefault="006D4BA4" w:rsidP="00487D3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023E47FA" w14:textId="77777777" w:rsidR="00AB772E" w:rsidRPr="00AB772E" w:rsidRDefault="00AB772E" w:rsidP="006B1A4E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2A5BFBE4" w14:textId="77777777" w:rsidR="00712201" w:rsidRPr="00AB772E" w:rsidRDefault="006D4BA4" w:rsidP="00AB772E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المقالة</w:t>
            </w:r>
            <w:r w:rsidR="00712201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25DB2AE8" w14:textId="77777777" w:rsidR="006D4BA4" w:rsidRPr="00AB772E" w:rsidRDefault="006D4BA4" w:rsidP="007122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</w:tc>
        <w:tc>
          <w:tcPr>
            <w:tcW w:w="5123" w:type="dxa"/>
            <w:shd w:val="clear" w:color="auto" w:fill="DEEAF6" w:themeFill="accent1" w:themeFillTint="33"/>
          </w:tcPr>
          <w:p w14:paraId="6409BEED" w14:textId="77777777" w:rsidR="006D4BA4" w:rsidRPr="00AB772E" w:rsidRDefault="00E56CFE" w:rsidP="003379F7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من الفقرة إلى المقالة: </w:t>
            </w:r>
            <w:r w:rsidR="002D7118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استثمار المعرفة السابقة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64EE7039" w14:textId="77777777" w:rsidR="006D4BA4" w:rsidRPr="00AB772E" w:rsidRDefault="00E56CFE" w:rsidP="00E56CF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</w:t>
            </w:r>
            <w:r w:rsidR="002D7118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مبنى المقالة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: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التمهيد والأطروحة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،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العرض</w:t>
            </w: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،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الخاتمة.</w:t>
            </w:r>
          </w:p>
          <w:p w14:paraId="2A542AA7" w14:textId="77777777" w:rsidR="00E56CFE" w:rsidRPr="00AB772E" w:rsidRDefault="00E56CFE" w:rsidP="00E56CF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. التماسك والالتحام المنطقي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79F50A60" w14:textId="77777777" w:rsidR="00BE6A09" w:rsidRPr="00AB772E" w:rsidRDefault="00E56CFE" w:rsidP="003379F7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.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مطابقة </w:t>
            </w:r>
            <w:r w:rsidR="002D7118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مبنى 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>الفقرة مع</w:t>
            </w:r>
            <w:r w:rsidR="002D7118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 مبنى</w:t>
            </w:r>
            <w:r w:rsidR="006D4BA4" w:rsidRPr="00AB772E"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  <w:t xml:space="preserve"> المقالة.</w:t>
            </w:r>
          </w:p>
          <w:p w14:paraId="01ED7D41" w14:textId="77777777" w:rsidR="00292A5C" w:rsidRDefault="003379F7" w:rsidP="00292A5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مقالة نموذجية</w:t>
            </w:r>
            <w:r w:rsidR="00292A5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، يختارها المدرس من المقالات الموجودة في الكتاب</w:t>
            </w:r>
          </w:p>
          <w:p w14:paraId="26336E27" w14:textId="4039BBFC" w:rsidR="004B12F7" w:rsidRPr="00AB772E" w:rsidRDefault="00AB772E" w:rsidP="00292A5C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أنشطة الكتاب القبلية والبعدية</w:t>
            </w:r>
          </w:p>
        </w:tc>
      </w:tr>
      <w:tr w:rsidR="006D4BA4" w:rsidRPr="00AB772E" w14:paraId="5FAF3364" w14:textId="77777777" w:rsidTr="00D14BB5">
        <w:tc>
          <w:tcPr>
            <w:tcW w:w="1735" w:type="dxa"/>
            <w:shd w:val="clear" w:color="auto" w:fill="BDD6EE" w:themeFill="accent1" w:themeFillTint="66"/>
          </w:tcPr>
          <w:p w14:paraId="3D48E404" w14:textId="77777777" w:rsidR="0034700A" w:rsidRPr="00AB772E" w:rsidRDefault="0034700A" w:rsidP="000A65E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3060377C" w14:textId="142DFA29" w:rsidR="006D4BA4" w:rsidRPr="00AB772E" w:rsidRDefault="00E027C9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التاسع</w:t>
            </w:r>
            <w:r w:rsidR="00222F8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والعاشر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763D5534" w14:textId="77777777" w:rsidR="0034700A" w:rsidRPr="00AB772E" w:rsidRDefault="0034700A" w:rsidP="0024743D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29FA9ED5" w14:textId="77777777" w:rsidR="003859D6" w:rsidRPr="00AB772E" w:rsidRDefault="0024743D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المكاتبات الرسمية</w:t>
            </w:r>
          </w:p>
          <w:p w14:paraId="0EAC1D6F" w14:textId="77777777" w:rsidR="0024743D" w:rsidRPr="00AB772E" w:rsidRDefault="00AB772E" w:rsidP="0024743D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  <w:r w:rsidR="0024743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طلب التوظيف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  <w:r w:rsidR="0024743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  <w:r w:rsidR="0024743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السيرة الذاتية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</w:p>
        </w:tc>
        <w:tc>
          <w:tcPr>
            <w:tcW w:w="5123" w:type="dxa"/>
            <w:shd w:val="clear" w:color="auto" w:fill="BDD6EE" w:themeFill="accent1" w:themeFillTint="66"/>
          </w:tcPr>
          <w:p w14:paraId="7BF1ECCF" w14:textId="71A7217C" w:rsidR="0024743D" w:rsidRPr="00AB772E" w:rsidRDefault="0024743D" w:rsidP="0024743D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إطار نظري خاص برسالة التغطية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،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ونموذج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0B16B7F7" w14:textId="77777777" w:rsidR="0024743D" w:rsidRPr="00AB772E" w:rsidRDefault="0024743D" w:rsidP="0024743D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إطار نظري خاص بالسيرة الذاتية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،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ونموذج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019C2E77" w14:textId="77777777" w:rsidR="00C270F7" w:rsidRPr="00AB772E" w:rsidRDefault="00AB772E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أنشطة الكتاب</w:t>
            </w:r>
          </w:p>
        </w:tc>
      </w:tr>
      <w:tr w:rsidR="009D6D16" w:rsidRPr="00AB772E" w14:paraId="1E719265" w14:textId="77777777" w:rsidTr="00D14BB5">
        <w:tc>
          <w:tcPr>
            <w:tcW w:w="1735" w:type="dxa"/>
            <w:shd w:val="clear" w:color="auto" w:fill="DEEAF6" w:themeFill="accent1" w:themeFillTint="33"/>
          </w:tcPr>
          <w:p w14:paraId="5F536AF4" w14:textId="77777777" w:rsidR="0034700A" w:rsidRPr="00AB772E" w:rsidRDefault="0034700A" w:rsidP="000A65E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1E3AFFF7" w14:textId="41FE9426" w:rsidR="009D6D16" w:rsidRPr="00AB772E" w:rsidRDefault="00E027C9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العاشر والحادي عشر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587A5ABB" w14:textId="77777777" w:rsidR="0034700A" w:rsidRPr="00AB772E" w:rsidRDefault="0034700A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68F79405" w14:textId="77777777" w:rsidR="009D6D16" w:rsidRPr="00AB772E" w:rsidRDefault="0034700A" w:rsidP="0034700A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مراجعات الكتب</w:t>
            </w:r>
          </w:p>
        </w:tc>
        <w:tc>
          <w:tcPr>
            <w:tcW w:w="5123" w:type="dxa"/>
            <w:shd w:val="clear" w:color="auto" w:fill="DEEAF6" w:themeFill="accent1" w:themeFillTint="33"/>
          </w:tcPr>
          <w:p w14:paraId="7CF666B8" w14:textId="77777777" w:rsidR="0024743D" w:rsidRPr="00AB772E" w:rsidRDefault="0024743D" w:rsidP="0024743D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ما المقصود بقولنا مراجعة كتاب؟</w:t>
            </w:r>
          </w:p>
          <w:p w14:paraId="13CF980F" w14:textId="77777777" w:rsidR="0024743D" w:rsidRDefault="0024743D" w:rsidP="0034700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العلامات الفارقة للمراجعة الناجحة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1E092AA1" w14:textId="77777777" w:rsidR="00ED165B" w:rsidRPr="00AB772E" w:rsidRDefault="00ED165B" w:rsidP="00D01D60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. </w:t>
            </w:r>
            <w:r w:rsidR="00D01D60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بين مراجعة الكتاب وعرضه</w:t>
            </w:r>
          </w:p>
          <w:p w14:paraId="60B51849" w14:textId="77777777" w:rsidR="009D6D16" w:rsidRPr="00AB772E" w:rsidRDefault="0024743D" w:rsidP="00C24D6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نموذج</w:t>
            </w:r>
            <w:r w:rsidR="00ED165B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مراجعة ونموذج عرض</w:t>
            </w:r>
          </w:p>
        </w:tc>
      </w:tr>
      <w:tr w:rsidR="00596146" w:rsidRPr="00AB772E" w14:paraId="0994D080" w14:textId="77777777" w:rsidTr="00D14BB5">
        <w:trPr>
          <w:trHeight w:val="458"/>
        </w:trPr>
        <w:tc>
          <w:tcPr>
            <w:tcW w:w="1735" w:type="dxa"/>
            <w:shd w:val="clear" w:color="auto" w:fill="BDD6EE" w:themeFill="accent1" w:themeFillTint="66"/>
          </w:tcPr>
          <w:p w14:paraId="0609F96C" w14:textId="77777777" w:rsidR="00712201" w:rsidRPr="00ED165B" w:rsidRDefault="00712201" w:rsidP="00972C70">
            <w:pPr>
              <w:bidi/>
              <w:jc w:val="center"/>
              <w:rPr>
                <w:rFonts w:ascii="Arabic Typesetting" w:hAnsi="Arabic Typesetting" w:cs="Arabic Typesetting"/>
                <w:sz w:val="16"/>
                <w:szCs w:val="16"/>
                <w:rtl/>
                <w:lang w:bidi="ar-JO"/>
              </w:rPr>
            </w:pPr>
          </w:p>
          <w:p w14:paraId="47B257B6" w14:textId="67F2544A" w:rsidR="00596146" w:rsidRPr="00AB772E" w:rsidRDefault="00E027C9" w:rsidP="007122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الحادي عشر والثاني عشر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14:paraId="1FDBB2CB" w14:textId="77777777" w:rsidR="00ED165B" w:rsidRPr="00ED165B" w:rsidRDefault="00ED165B" w:rsidP="00C24D6E">
            <w:pPr>
              <w:bidi/>
              <w:jc w:val="center"/>
              <w:rPr>
                <w:rFonts w:ascii="Arabic Typesetting" w:hAnsi="Arabic Typesetting" w:cs="Arabic Typesetting"/>
                <w:sz w:val="14"/>
                <w:szCs w:val="14"/>
                <w:rtl/>
                <w:lang w:bidi="ar-JO"/>
              </w:rPr>
            </w:pPr>
          </w:p>
          <w:p w14:paraId="4A66C8C6" w14:textId="77777777" w:rsidR="00596146" w:rsidRPr="00AB772E" w:rsidRDefault="00C24D6E" w:rsidP="00ED165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قراءة</w:t>
            </w:r>
            <w:r w:rsidR="0034700A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النصوص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الفكرية</w:t>
            </w:r>
            <w:r w:rsidR="0034700A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</w:t>
            </w: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و</w:t>
            </w:r>
            <w:r w:rsidR="0034700A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تنمية المهارات</w:t>
            </w:r>
          </w:p>
        </w:tc>
        <w:tc>
          <w:tcPr>
            <w:tcW w:w="5123" w:type="dxa"/>
            <w:shd w:val="clear" w:color="auto" w:fill="BDD6EE" w:themeFill="accent1" w:themeFillTint="66"/>
          </w:tcPr>
          <w:p w14:paraId="64312227" w14:textId="207F58F9" w:rsidR="00AB772E" w:rsidRPr="00AB772E" w:rsidRDefault="0034700A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. </w:t>
            </w:r>
            <w:r w:rsidR="00292A5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نص "</w:t>
            </w:r>
            <w:r w:rsidR="00925A7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التعليم البنكي)</w:t>
            </w:r>
            <w:r w:rsidR="00D411F5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(قراءة</w:t>
            </w:r>
            <w:r w:rsidR="00DA22E9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، </w:t>
            </w:r>
            <w:r w:rsidR="00D411F5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ونقاش</w:t>
            </w:r>
            <w:r w:rsidR="00C24D6E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موجّه</w:t>
            </w:r>
            <w:r w:rsidR="00DA22E9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،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ومناظرات</w:t>
            </w:r>
            <w:r w:rsidR="00D411F5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)</w:t>
            </w:r>
            <w:r w:rsidR="007A29FD"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</w:t>
            </w:r>
          </w:p>
          <w:p w14:paraId="4BF82449" w14:textId="77777777" w:rsidR="0034700A" w:rsidRPr="00AB772E" w:rsidRDefault="00AB772E" w:rsidP="00AB772E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. أنشطة الكتاب القبلية والبعدية</w:t>
            </w:r>
            <w:r w:rsidR="0034700A" w:rsidRPr="00AB772E">
              <w:rPr>
                <w:rFonts w:ascii="Arabic Typesetting" w:hAnsi="Arabic Typesetting" w:cs="Arabic Typesetting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4700A" w:rsidRPr="00AB772E" w14:paraId="67222BC2" w14:textId="77777777" w:rsidTr="00D14BB5">
        <w:tc>
          <w:tcPr>
            <w:tcW w:w="1735" w:type="dxa"/>
            <w:shd w:val="clear" w:color="auto" w:fill="DEEAF6" w:themeFill="accent1" w:themeFillTint="33"/>
          </w:tcPr>
          <w:p w14:paraId="2D0F7905" w14:textId="77777777" w:rsidR="00892B01" w:rsidRDefault="00892B01" w:rsidP="003A6295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</w:p>
          <w:p w14:paraId="45A28956" w14:textId="49036D0E" w:rsidR="0034700A" w:rsidRPr="00AB772E" w:rsidRDefault="00E027C9" w:rsidP="0089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الثالث عشر والرابع عشر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077B7DE4" w14:textId="77777777" w:rsidR="00AB772E" w:rsidRPr="00AB772E" w:rsidRDefault="00AB772E" w:rsidP="00C24D6E">
            <w:pPr>
              <w:bidi/>
              <w:jc w:val="center"/>
              <w:rPr>
                <w:rFonts w:ascii="Arabic Typesetting" w:hAnsi="Arabic Typesetting" w:cs="Arabic Typesetting"/>
                <w:sz w:val="18"/>
                <w:szCs w:val="18"/>
                <w:rtl/>
                <w:lang w:bidi="ar-JO"/>
              </w:rPr>
            </w:pPr>
          </w:p>
          <w:p w14:paraId="2799388B" w14:textId="77777777" w:rsidR="0034700A" w:rsidRPr="00AB772E" w:rsidRDefault="00C24D6E" w:rsidP="00AB772E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 w:rsidRPr="00AB772E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قراءة النصوص الأدبية (قصة قصيرة) وتنمية المهارات</w:t>
            </w:r>
          </w:p>
        </w:tc>
        <w:tc>
          <w:tcPr>
            <w:tcW w:w="5123" w:type="dxa"/>
            <w:shd w:val="clear" w:color="auto" w:fill="DEEAF6" w:themeFill="accent1" w:themeFillTint="33"/>
          </w:tcPr>
          <w:p w14:paraId="3C1B067C" w14:textId="77777777" w:rsidR="00C24D6E" w:rsidRPr="00AB772E" w:rsidRDefault="00ED165B" w:rsidP="0034700A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. عناصر القصة القصيرة. </w:t>
            </w:r>
          </w:p>
          <w:p w14:paraId="3F70D82E" w14:textId="36D9473B" w:rsidR="00C24D6E" w:rsidRPr="00D14BB5" w:rsidRDefault="00292A5C" w:rsidP="00D14BB5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JO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  <w:r w:rsidR="00D14BB5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سأتعشى الليلة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</w:t>
            </w:r>
            <w:r w:rsidR="00D14BB5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لسميرة عزام</w:t>
            </w:r>
            <w:r w:rsidR="001A392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و "</w:t>
            </w:r>
            <w:r w:rsidR="00925A7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وجه جديد</w:t>
            </w:r>
            <w:r w:rsidR="001A392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" ل</w:t>
            </w:r>
            <w:r w:rsidR="00925A7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>حليم بركات</w:t>
            </w:r>
            <w:r w:rsidR="00D14BB5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JO"/>
              </w:rPr>
              <w:t xml:space="preserve"> + أنشطة الكتاب.</w:t>
            </w:r>
          </w:p>
        </w:tc>
      </w:tr>
    </w:tbl>
    <w:p w14:paraId="24F5A385" w14:textId="2BC49F2D" w:rsidR="00F82266" w:rsidRPr="00FC186B" w:rsidRDefault="006B1A4E" w:rsidP="00DC3818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C186B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lastRenderedPageBreak/>
        <w:t>سابعا</w:t>
      </w:r>
      <w:r w:rsidR="00F82266" w:rsidRPr="00FC186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493664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توزيع العلامات</w:t>
      </w:r>
    </w:p>
    <w:p w14:paraId="7E8EEA52" w14:textId="77777777" w:rsidR="002C4EFE" w:rsidRPr="0008314D" w:rsidRDefault="00493664" w:rsidP="00493664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1</w:t>
      </w:r>
      <w:r w:rsidR="00A932DB" w:rsidRPr="0008314D">
        <w:rPr>
          <w:rFonts w:ascii="Arabic Typesetting" w:hAnsi="Arabic Typesetting" w:cs="Arabic Typesetting"/>
          <w:sz w:val="32"/>
          <w:szCs w:val="32"/>
          <w:rtl/>
        </w:rPr>
        <w:t xml:space="preserve">- </w:t>
      </w:r>
      <w:r w:rsidR="002C4EFE" w:rsidRPr="0008314D">
        <w:rPr>
          <w:rFonts w:ascii="Arabic Typesetting" w:hAnsi="Arabic Typesetting" w:cs="Arabic Typesetting"/>
          <w:sz w:val="32"/>
          <w:szCs w:val="32"/>
          <w:rtl/>
        </w:rPr>
        <w:t xml:space="preserve">المشاركة الفاعلة </w:t>
      </w:r>
      <w:r>
        <w:rPr>
          <w:rFonts w:ascii="Arabic Typesetting" w:hAnsi="Arabic Typesetting" w:cs="Arabic Typesetting" w:hint="cs"/>
          <w:sz w:val="32"/>
          <w:szCs w:val="32"/>
          <w:rtl/>
        </w:rPr>
        <w:t>10</w:t>
      </w:r>
      <w:r w:rsidR="002C4EFE" w:rsidRPr="0008314D">
        <w:rPr>
          <w:rFonts w:ascii="Arabic Typesetting" w:hAnsi="Arabic Typesetting" w:cs="Arabic Typesetting"/>
          <w:sz w:val="32"/>
          <w:szCs w:val="32"/>
          <w:rtl/>
        </w:rPr>
        <w:t>%</w:t>
      </w:r>
    </w:p>
    <w:p w14:paraId="4BC05728" w14:textId="77777777" w:rsidR="002C4EFE" w:rsidRPr="0008314D" w:rsidRDefault="002C4EFE" w:rsidP="00C24D6E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2- </w:t>
      </w:r>
      <w:r w:rsidR="00493664" w:rsidRPr="0008314D">
        <w:rPr>
          <w:rFonts w:ascii="Arabic Typesetting" w:hAnsi="Arabic Typesetting" w:cs="Arabic Typesetting"/>
          <w:sz w:val="32"/>
          <w:szCs w:val="32"/>
          <w:rtl/>
        </w:rPr>
        <w:t>الوظائف الكتابية 20%</w:t>
      </w:r>
    </w:p>
    <w:p w14:paraId="1F685F04" w14:textId="4FBC9A94" w:rsidR="002C4EFE" w:rsidRPr="0008314D" w:rsidRDefault="00914A05" w:rsidP="00222F86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>4</w:t>
      </w:r>
      <w:r w:rsidR="002C4EFE" w:rsidRPr="0008314D">
        <w:rPr>
          <w:rFonts w:ascii="Arabic Typesetting" w:hAnsi="Arabic Typesetting" w:cs="Arabic Typesetting"/>
          <w:sz w:val="32"/>
          <w:szCs w:val="32"/>
          <w:rtl/>
        </w:rPr>
        <w:t xml:space="preserve">- </w:t>
      </w:r>
      <w:r w:rsidR="00A932DB" w:rsidRPr="0008314D">
        <w:rPr>
          <w:rFonts w:ascii="Arabic Typesetting" w:hAnsi="Arabic Typesetting" w:cs="Arabic Typesetting"/>
          <w:sz w:val="32"/>
          <w:szCs w:val="32"/>
          <w:rtl/>
        </w:rPr>
        <w:t xml:space="preserve">الاختبار النصفي </w:t>
      </w:r>
      <w:r w:rsidR="00493664">
        <w:rPr>
          <w:rFonts w:ascii="Arabic Typesetting" w:hAnsi="Arabic Typesetting" w:cs="Arabic Typesetting" w:hint="cs"/>
          <w:sz w:val="32"/>
          <w:szCs w:val="32"/>
          <w:rtl/>
        </w:rPr>
        <w:t>30</w:t>
      </w:r>
      <w:r w:rsidR="00A932DB" w:rsidRPr="0008314D">
        <w:rPr>
          <w:rFonts w:ascii="Arabic Typesetting" w:hAnsi="Arabic Typesetting" w:cs="Arabic Typesetting"/>
          <w:sz w:val="32"/>
          <w:szCs w:val="32"/>
          <w:rtl/>
        </w:rPr>
        <w:t>%</w:t>
      </w:r>
      <w:r w:rsidR="00493664" w:rsidRPr="00493664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</w:p>
    <w:p w14:paraId="0211D5C7" w14:textId="1F7BAC22" w:rsidR="00493664" w:rsidRDefault="00914A05" w:rsidP="0022668E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08314D">
        <w:rPr>
          <w:rFonts w:ascii="Arabic Typesetting" w:hAnsi="Arabic Typesetting" w:cs="Arabic Typesetting"/>
          <w:sz w:val="32"/>
          <w:szCs w:val="32"/>
          <w:rtl/>
        </w:rPr>
        <w:t xml:space="preserve">5- الاختبار النهائي </w:t>
      </w:r>
      <w:r w:rsidR="00222F86">
        <w:rPr>
          <w:rFonts w:ascii="Arabic Typesetting" w:hAnsi="Arabic Typesetting" w:cs="Arabic Typesetting" w:hint="cs"/>
          <w:sz w:val="32"/>
          <w:szCs w:val="32"/>
          <w:rtl/>
        </w:rPr>
        <w:t>40</w:t>
      </w:r>
      <w:r w:rsidRPr="0008314D">
        <w:rPr>
          <w:rFonts w:ascii="Arabic Typesetting" w:hAnsi="Arabic Typesetting" w:cs="Arabic Typesetting"/>
          <w:sz w:val="32"/>
          <w:szCs w:val="32"/>
          <w:rtl/>
        </w:rPr>
        <w:t>%</w:t>
      </w:r>
    </w:p>
    <w:sectPr w:rsidR="0049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98"/>
    <w:rsid w:val="00036F77"/>
    <w:rsid w:val="0007134C"/>
    <w:rsid w:val="0008314D"/>
    <w:rsid w:val="000A65E0"/>
    <w:rsid w:val="001038E3"/>
    <w:rsid w:val="00150042"/>
    <w:rsid w:val="00182A28"/>
    <w:rsid w:val="00191D90"/>
    <w:rsid w:val="001A392C"/>
    <w:rsid w:val="001C4510"/>
    <w:rsid w:val="001F00FB"/>
    <w:rsid w:val="002100FC"/>
    <w:rsid w:val="00222F86"/>
    <w:rsid w:val="0022668E"/>
    <w:rsid w:val="002354BF"/>
    <w:rsid w:val="0024743D"/>
    <w:rsid w:val="002668F0"/>
    <w:rsid w:val="00292A5C"/>
    <w:rsid w:val="002C4EFE"/>
    <w:rsid w:val="002D7118"/>
    <w:rsid w:val="00314242"/>
    <w:rsid w:val="003148B1"/>
    <w:rsid w:val="003379F7"/>
    <w:rsid w:val="0034700A"/>
    <w:rsid w:val="00352A39"/>
    <w:rsid w:val="0038196C"/>
    <w:rsid w:val="003859D6"/>
    <w:rsid w:val="003A6295"/>
    <w:rsid w:val="003B6F3F"/>
    <w:rsid w:val="003E4AA3"/>
    <w:rsid w:val="003F2DD0"/>
    <w:rsid w:val="00437C3D"/>
    <w:rsid w:val="00465486"/>
    <w:rsid w:val="0047190A"/>
    <w:rsid w:val="00480529"/>
    <w:rsid w:val="00487D3B"/>
    <w:rsid w:val="00493664"/>
    <w:rsid w:val="004B12F7"/>
    <w:rsid w:val="004F7469"/>
    <w:rsid w:val="00527771"/>
    <w:rsid w:val="005332CF"/>
    <w:rsid w:val="00537CDE"/>
    <w:rsid w:val="00543121"/>
    <w:rsid w:val="005619F9"/>
    <w:rsid w:val="00596146"/>
    <w:rsid w:val="005A1C1C"/>
    <w:rsid w:val="00601F49"/>
    <w:rsid w:val="00662633"/>
    <w:rsid w:val="00671BE9"/>
    <w:rsid w:val="00681A8D"/>
    <w:rsid w:val="006877E8"/>
    <w:rsid w:val="006B1A4E"/>
    <w:rsid w:val="006D4BA4"/>
    <w:rsid w:val="006E1CA0"/>
    <w:rsid w:val="00712201"/>
    <w:rsid w:val="00737595"/>
    <w:rsid w:val="00782AC4"/>
    <w:rsid w:val="007867A4"/>
    <w:rsid w:val="007A29FD"/>
    <w:rsid w:val="007B20EF"/>
    <w:rsid w:val="0080642A"/>
    <w:rsid w:val="00834D2D"/>
    <w:rsid w:val="0086386B"/>
    <w:rsid w:val="0086468D"/>
    <w:rsid w:val="00892B01"/>
    <w:rsid w:val="008B5FF2"/>
    <w:rsid w:val="008E16E1"/>
    <w:rsid w:val="00914A05"/>
    <w:rsid w:val="00925A76"/>
    <w:rsid w:val="00932C4F"/>
    <w:rsid w:val="00935E1B"/>
    <w:rsid w:val="009537FA"/>
    <w:rsid w:val="00957EAF"/>
    <w:rsid w:val="00963E35"/>
    <w:rsid w:val="00972C70"/>
    <w:rsid w:val="00995B98"/>
    <w:rsid w:val="009A69EB"/>
    <w:rsid w:val="009B1916"/>
    <w:rsid w:val="009D6D16"/>
    <w:rsid w:val="009E0D4E"/>
    <w:rsid w:val="00A54E9E"/>
    <w:rsid w:val="00A932DB"/>
    <w:rsid w:val="00AB772E"/>
    <w:rsid w:val="00AE629E"/>
    <w:rsid w:val="00B23FA7"/>
    <w:rsid w:val="00B86EDB"/>
    <w:rsid w:val="00B94F58"/>
    <w:rsid w:val="00BC7A23"/>
    <w:rsid w:val="00BE1C90"/>
    <w:rsid w:val="00BE6A09"/>
    <w:rsid w:val="00C20E08"/>
    <w:rsid w:val="00C24D6E"/>
    <w:rsid w:val="00C270F7"/>
    <w:rsid w:val="00CB36F1"/>
    <w:rsid w:val="00CB37EA"/>
    <w:rsid w:val="00D01D60"/>
    <w:rsid w:val="00D13660"/>
    <w:rsid w:val="00D14BB5"/>
    <w:rsid w:val="00D15A30"/>
    <w:rsid w:val="00D411F5"/>
    <w:rsid w:val="00D70422"/>
    <w:rsid w:val="00D80AED"/>
    <w:rsid w:val="00DA22E9"/>
    <w:rsid w:val="00DC3818"/>
    <w:rsid w:val="00DC3A6E"/>
    <w:rsid w:val="00DE1F10"/>
    <w:rsid w:val="00E027C9"/>
    <w:rsid w:val="00E2648C"/>
    <w:rsid w:val="00E41017"/>
    <w:rsid w:val="00E56CFE"/>
    <w:rsid w:val="00E6562F"/>
    <w:rsid w:val="00E9524A"/>
    <w:rsid w:val="00EB11E0"/>
    <w:rsid w:val="00ED165B"/>
    <w:rsid w:val="00EF586B"/>
    <w:rsid w:val="00EF6BB4"/>
    <w:rsid w:val="00EF6F14"/>
    <w:rsid w:val="00F02D21"/>
    <w:rsid w:val="00F310F4"/>
    <w:rsid w:val="00F82266"/>
    <w:rsid w:val="00F9346A"/>
    <w:rsid w:val="00FB1EF5"/>
    <w:rsid w:val="00FC186B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C20F"/>
  <w15:chartTrackingRefBased/>
  <w15:docId w15:val="{DCD924EF-4343-4187-890B-51E8B324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Gadeer O Kharoubi</cp:lastModifiedBy>
  <cp:revision>2</cp:revision>
  <cp:lastPrinted>2017-09-10T17:51:00Z</cp:lastPrinted>
  <dcterms:created xsi:type="dcterms:W3CDTF">2025-02-19T07:17:00Z</dcterms:created>
  <dcterms:modified xsi:type="dcterms:W3CDTF">2025-02-19T07:17:00Z</dcterms:modified>
</cp:coreProperties>
</file>